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0" w:type="dxa"/>
        <w:tblLayout w:type="fixed"/>
        <w:tblCellMar>
          <w:left w:w="0" w:type="dxa"/>
          <w:right w:w="0" w:type="dxa"/>
        </w:tblCellMar>
        <w:tblLook w:val="04A0" w:firstRow="1" w:lastRow="0" w:firstColumn="1" w:lastColumn="0" w:noHBand="0" w:noVBand="1"/>
      </w:tblPr>
      <w:tblGrid>
        <w:gridCol w:w="449"/>
        <w:gridCol w:w="283"/>
        <w:gridCol w:w="2028"/>
        <w:gridCol w:w="450"/>
        <w:gridCol w:w="1125"/>
        <w:gridCol w:w="4899"/>
        <w:gridCol w:w="346"/>
      </w:tblGrid>
      <w:tr w:rsidR="00A93A20">
        <w:trPr>
          <w:gridAfter w:val="4"/>
          <w:wAfter w:w="6820" w:type="dxa"/>
          <w:trHeight w:hRule="exact" w:val="305"/>
        </w:trPr>
        <w:tc>
          <w:tcPr>
            <w:tcW w:w="449" w:type="dxa"/>
            <w:vAlign w:val="center"/>
          </w:tcPr>
          <w:p w:rsidR="00A93A20" w:rsidRDefault="0091399B">
            <w:pPr>
              <w:rPr>
                <w:rFonts w:ascii="黑体" w:eastAsia="黑体" w:hAnsi="黑体"/>
                <w:color w:val="FF0000"/>
              </w:rPr>
            </w:pPr>
            <w:r>
              <w:rPr>
                <w:rFonts w:ascii="黑体" w:eastAsia="黑体" w:hAnsi="黑体" w:hint="eastAsia"/>
                <w:color w:val="FF0000"/>
              </w:rPr>
              <w:t>ICS</w:t>
            </w:r>
          </w:p>
        </w:tc>
        <w:tc>
          <w:tcPr>
            <w:tcW w:w="2311" w:type="dxa"/>
            <w:gridSpan w:val="2"/>
            <w:vAlign w:val="center"/>
          </w:tcPr>
          <w:p w:rsidR="00A93A20" w:rsidRDefault="0091399B">
            <w:pPr>
              <w:pStyle w:val="aff1"/>
              <w:framePr w:hSpace="0" w:vSpace="0" w:wrap="auto" w:hAnchor="text" w:yAlign="inline"/>
              <w:rPr>
                <w:rFonts w:ascii="黑体" w:hAnsi="黑体"/>
                <w:color w:val="FF0000"/>
              </w:rPr>
            </w:pPr>
            <w:r>
              <w:rPr>
                <w:rFonts w:ascii="黑体" w:hAnsi="黑体" w:hint="eastAsia"/>
                <w:color w:val="FF0000"/>
                <w:spacing w:val="10"/>
                <w:kern w:val="2"/>
              </w:rPr>
              <w:t>32.020</w:t>
            </w:r>
          </w:p>
          <w:p w:rsidR="00A93A20" w:rsidRDefault="00A93A20">
            <w:pPr>
              <w:rPr>
                <w:rFonts w:ascii="黑体" w:eastAsia="黑体" w:hAnsi="黑体"/>
                <w:color w:val="FF0000"/>
              </w:rPr>
            </w:pPr>
          </w:p>
        </w:tc>
      </w:tr>
      <w:tr w:rsidR="00A93A20">
        <w:trPr>
          <w:gridAfter w:val="4"/>
          <w:wAfter w:w="6820" w:type="dxa"/>
          <w:trHeight w:hRule="exact" w:val="305"/>
        </w:trPr>
        <w:tc>
          <w:tcPr>
            <w:tcW w:w="732" w:type="dxa"/>
            <w:gridSpan w:val="2"/>
            <w:vAlign w:val="center"/>
          </w:tcPr>
          <w:p w:rsidR="00A93A20" w:rsidRDefault="0091399B">
            <w:pPr>
              <w:ind w:right="-170"/>
              <w:rPr>
                <w:rFonts w:ascii="黑体" w:eastAsia="黑体" w:hAnsi="黑体"/>
                <w:color w:val="FF0000"/>
              </w:rPr>
            </w:pPr>
            <w:r>
              <w:rPr>
                <w:rFonts w:ascii="黑体" w:eastAsia="黑体" w:hAnsi="黑体" w:hint="eastAsia"/>
                <w:color w:val="FF0000"/>
              </w:rPr>
              <w:t>T40</w:t>
            </w:r>
          </w:p>
        </w:tc>
        <w:tc>
          <w:tcPr>
            <w:tcW w:w="2028" w:type="dxa"/>
            <w:vAlign w:val="center"/>
          </w:tcPr>
          <w:p w:rsidR="00A93A20" w:rsidRDefault="00A93A20">
            <w:pPr>
              <w:ind w:left="57"/>
              <w:rPr>
                <w:rFonts w:ascii="黑体" w:eastAsia="黑体" w:hAnsi="黑体"/>
                <w:color w:val="FF0000"/>
                <w:highlight w:val="yellow"/>
              </w:rPr>
            </w:pPr>
          </w:p>
        </w:tc>
      </w:tr>
      <w:tr w:rsidR="00A93A20">
        <w:trPr>
          <w:gridAfter w:val="4"/>
          <w:wAfter w:w="6820" w:type="dxa"/>
          <w:trHeight w:hRule="exact" w:val="305"/>
        </w:trPr>
        <w:tc>
          <w:tcPr>
            <w:tcW w:w="732" w:type="dxa"/>
            <w:gridSpan w:val="2"/>
            <w:vAlign w:val="center"/>
          </w:tcPr>
          <w:p w:rsidR="00A93A20" w:rsidRDefault="00A93A20">
            <w:pPr>
              <w:ind w:right="-170"/>
              <w:rPr>
                <w:rFonts w:eastAsia="黑体"/>
              </w:rPr>
            </w:pPr>
          </w:p>
        </w:tc>
        <w:tc>
          <w:tcPr>
            <w:tcW w:w="2028" w:type="dxa"/>
            <w:vAlign w:val="center"/>
          </w:tcPr>
          <w:p w:rsidR="00A93A20" w:rsidRDefault="00A93A20">
            <w:pPr>
              <w:ind w:left="57"/>
              <w:rPr>
                <w:rFonts w:ascii="Arial Narrow" w:eastAsia="黑体" w:hAnsi="Arial Narrow"/>
              </w:rPr>
            </w:pPr>
          </w:p>
        </w:tc>
      </w:tr>
      <w:tr w:rsidR="00A93A20">
        <w:trPr>
          <w:trHeight w:hRule="exact" w:val="358"/>
        </w:trPr>
        <w:tc>
          <w:tcPr>
            <w:tcW w:w="9580" w:type="dxa"/>
            <w:gridSpan w:val="7"/>
          </w:tcPr>
          <w:p w:rsidR="00A93A20" w:rsidRDefault="00A93A20">
            <w:pPr>
              <w:spacing w:before="120" w:after="120"/>
            </w:pPr>
          </w:p>
        </w:tc>
      </w:tr>
      <w:tr w:rsidR="00A93A20">
        <w:trPr>
          <w:trHeight w:hRule="exact" w:val="57"/>
        </w:trPr>
        <w:tc>
          <w:tcPr>
            <w:tcW w:w="9580" w:type="dxa"/>
            <w:gridSpan w:val="7"/>
          </w:tcPr>
          <w:p w:rsidR="00A93A20" w:rsidRDefault="00A93A20">
            <w:pPr>
              <w:spacing w:before="120" w:after="120"/>
            </w:pPr>
          </w:p>
        </w:tc>
      </w:tr>
      <w:tr w:rsidR="00A93A20">
        <w:trPr>
          <w:trHeight w:hRule="exact" w:val="351"/>
        </w:trPr>
        <w:tc>
          <w:tcPr>
            <w:tcW w:w="9580" w:type="dxa"/>
            <w:gridSpan w:val="7"/>
          </w:tcPr>
          <w:p w:rsidR="00A93A20" w:rsidRDefault="00A93A20">
            <w:pPr>
              <w:spacing w:before="120" w:after="120"/>
            </w:pPr>
          </w:p>
        </w:tc>
      </w:tr>
      <w:tr w:rsidR="00A93A20">
        <w:trPr>
          <w:trHeight w:hRule="exact" w:val="547"/>
        </w:trPr>
        <w:tc>
          <w:tcPr>
            <w:tcW w:w="9580" w:type="dxa"/>
            <w:gridSpan w:val="7"/>
            <w:vAlign w:val="center"/>
          </w:tcPr>
          <w:p w:rsidR="00A93A20" w:rsidRDefault="0091399B">
            <w:pPr>
              <w:spacing w:after="240" w:line="560" w:lineRule="exact"/>
              <w:ind w:right="28"/>
              <w:jc w:val="center"/>
              <w:rPr>
                <w:rFonts w:eastAsia="黑体"/>
                <w:w w:val="140"/>
                <w:sz w:val="52"/>
              </w:rPr>
            </w:pPr>
            <w:r>
              <w:rPr>
                <w:rFonts w:eastAsia="黑体" w:hint="eastAsia"/>
                <w:w w:val="140"/>
                <w:sz w:val="52"/>
              </w:rPr>
              <w:t>团</w:t>
            </w:r>
            <w:r>
              <w:rPr>
                <w:rFonts w:eastAsia="黑体" w:hint="eastAsia"/>
                <w:w w:val="140"/>
                <w:sz w:val="52"/>
              </w:rPr>
              <w:t xml:space="preserve">    </w:t>
            </w:r>
            <w:r>
              <w:rPr>
                <w:rFonts w:eastAsia="黑体" w:hint="eastAsia"/>
                <w:w w:val="140"/>
                <w:sz w:val="52"/>
              </w:rPr>
              <w:t>体</w:t>
            </w:r>
            <w:r>
              <w:rPr>
                <w:rFonts w:eastAsia="黑体" w:hint="eastAsia"/>
                <w:w w:val="140"/>
                <w:sz w:val="52"/>
              </w:rPr>
              <w:t xml:space="preserve">    </w:t>
            </w:r>
            <w:r>
              <w:rPr>
                <w:rFonts w:eastAsia="黑体" w:hint="eastAsia"/>
                <w:w w:val="140"/>
                <w:sz w:val="52"/>
              </w:rPr>
              <w:t>标</w:t>
            </w:r>
            <w:r>
              <w:rPr>
                <w:rFonts w:eastAsia="黑体" w:hint="eastAsia"/>
                <w:w w:val="140"/>
                <w:sz w:val="52"/>
              </w:rPr>
              <w:t xml:space="preserve">    </w:t>
            </w:r>
            <w:r>
              <w:rPr>
                <w:rFonts w:eastAsia="黑体" w:hint="eastAsia"/>
                <w:w w:val="140"/>
                <w:sz w:val="52"/>
              </w:rPr>
              <w:t>准</w:t>
            </w:r>
          </w:p>
          <w:p w:rsidR="00A93A20" w:rsidRDefault="00A93A20">
            <w:pPr>
              <w:spacing w:line="520" w:lineRule="exact"/>
              <w:rPr>
                <w:w w:val="140"/>
                <w:sz w:val="52"/>
              </w:rPr>
            </w:pPr>
          </w:p>
        </w:tc>
      </w:tr>
      <w:tr w:rsidR="00A93A20">
        <w:trPr>
          <w:trHeight w:hRule="exact" w:val="331"/>
        </w:trPr>
        <w:tc>
          <w:tcPr>
            <w:tcW w:w="9580" w:type="dxa"/>
            <w:gridSpan w:val="7"/>
          </w:tcPr>
          <w:p w:rsidR="00A93A20" w:rsidRDefault="00A93A20">
            <w:pPr>
              <w:jc w:val="center"/>
              <w:rPr>
                <w:rFonts w:eastAsia="黑体"/>
                <w:b/>
                <w:sz w:val="52"/>
              </w:rPr>
            </w:pPr>
          </w:p>
        </w:tc>
      </w:tr>
      <w:tr w:rsidR="00A93A20">
        <w:trPr>
          <w:cantSplit/>
          <w:trHeight w:hRule="exact" w:val="57"/>
        </w:trPr>
        <w:tc>
          <w:tcPr>
            <w:tcW w:w="3210" w:type="dxa"/>
            <w:gridSpan w:val="4"/>
            <w:vAlign w:val="center"/>
          </w:tcPr>
          <w:p w:rsidR="00A93A20" w:rsidRDefault="00A93A20"/>
        </w:tc>
        <w:tc>
          <w:tcPr>
            <w:tcW w:w="1125" w:type="dxa"/>
            <w:vAlign w:val="center"/>
          </w:tcPr>
          <w:p w:rsidR="00A93A20" w:rsidRDefault="00A93A20">
            <w:pPr>
              <w:jc w:val="right"/>
            </w:pPr>
          </w:p>
        </w:tc>
        <w:tc>
          <w:tcPr>
            <w:tcW w:w="4899" w:type="dxa"/>
            <w:vAlign w:val="center"/>
          </w:tcPr>
          <w:p w:rsidR="00A93A20" w:rsidRDefault="00A93A20">
            <w:pPr>
              <w:wordWrap w:val="0"/>
              <w:jc w:val="right"/>
            </w:pPr>
          </w:p>
        </w:tc>
        <w:tc>
          <w:tcPr>
            <w:tcW w:w="346" w:type="dxa"/>
            <w:vAlign w:val="center"/>
          </w:tcPr>
          <w:p w:rsidR="00A93A20" w:rsidRDefault="00A93A20"/>
        </w:tc>
      </w:tr>
      <w:tr w:rsidR="00A93A20">
        <w:trPr>
          <w:cantSplit/>
          <w:trHeight w:hRule="exact" w:val="351"/>
        </w:trPr>
        <w:tc>
          <w:tcPr>
            <w:tcW w:w="3210" w:type="dxa"/>
            <w:gridSpan w:val="4"/>
            <w:vAlign w:val="center"/>
          </w:tcPr>
          <w:p w:rsidR="00A93A20" w:rsidRDefault="00A93A20"/>
        </w:tc>
        <w:tc>
          <w:tcPr>
            <w:tcW w:w="1125" w:type="dxa"/>
            <w:vAlign w:val="center"/>
          </w:tcPr>
          <w:p w:rsidR="00A93A20" w:rsidRDefault="00A93A20">
            <w:pPr>
              <w:jc w:val="right"/>
            </w:pPr>
          </w:p>
        </w:tc>
        <w:tc>
          <w:tcPr>
            <w:tcW w:w="4899" w:type="dxa"/>
            <w:vAlign w:val="center"/>
          </w:tcPr>
          <w:p w:rsidR="00A93A20" w:rsidRDefault="0091399B">
            <w:pPr>
              <w:spacing w:line="360" w:lineRule="exact"/>
              <w:jc w:val="right"/>
              <w:rPr>
                <w:rFonts w:ascii="黑体" w:eastAsia="黑体" w:hAnsi="黑体"/>
                <w:highlight w:val="yellow"/>
              </w:rPr>
            </w:pPr>
            <w:r>
              <w:rPr>
                <w:rFonts w:eastAsia="黑体"/>
                <w:sz w:val="28"/>
              </w:rPr>
              <w:t xml:space="preserve">T/CSAE </w:t>
            </w:r>
            <w:r>
              <w:rPr>
                <w:rFonts w:eastAsia="黑体" w:hint="eastAsia"/>
                <w:spacing w:val="10"/>
                <w:sz w:val="28"/>
                <w:szCs w:val="28"/>
              </w:rPr>
              <w:t>XX</w:t>
            </w:r>
            <w:r>
              <w:rPr>
                <w:rFonts w:eastAsia="黑体"/>
                <w:spacing w:val="10"/>
                <w:sz w:val="28"/>
                <w:szCs w:val="28"/>
              </w:rPr>
              <w:t>－</w:t>
            </w:r>
            <w:r>
              <w:rPr>
                <w:rFonts w:eastAsia="黑体" w:hint="eastAsia"/>
                <w:spacing w:val="10"/>
                <w:sz w:val="28"/>
              </w:rPr>
              <w:t>XXXX</w:t>
            </w:r>
          </w:p>
        </w:tc>
        <w:tc>
          <w:tcPr>
            <w:tcW w:w="346" w:type="dxa"/>
            <w:vAlign w:val="center"/>
          </w:tcPr>
          <w:p w:rsidR="00A93A20" w:rsidRDefault="00A93A20">
            <w:pPr>
              <w:rPr>
                <w:rFonts w:ascii="黑体" w:eastAsia="黑体" w:hAnsi="黑体"/>
                <w:highlight w:val="yellow"/>
              </w:rPr>
            </w:pPr>
          </w:p>
        </w:tc>
      </w:tr>
      <w:tr w:rsidR="00A93A20">
        <w:trPr>
          <w:cantSplit/>
          <w:trHeight w:hRule="exact" w:val="86"/>
        </w:trPr>
        <w:tc>
          <w:tcPr>
            <w:tcW w:w="3210" w:type="dxa"/>
            <w:gridSpan w:val="4"/>
            <w:vAlign w:val="center"/>
          </w:tcPr>
          <w:p w:rsidR="00A93A20" w:rsidRDefault="00A93A20"/>
        </w:tc>
        <w:tc>
          <w:tcPr>
            <w:tcW w:w="1125" w:type="dxa"/>
            <w:vAlign w:val="center"/>
          </w:tcPr>
          <w:p w:rsidR="00A93A20" w:rsidRDefault="00A93A20">
            <w:pPr>
              <w:jc w:val="right"/>
            </w:pPr>
          </w:p>
        </w:tc>
        <w:tc>
          <w:tcPr>
            <w:tcW w:w="4899" w:type="dxa"/>
            <w:vAlign w:val="center"/>
          </w:tcPr>
          <w:p w:rsidR="00A93A20" w:rsidRDefault="00A93A20">
            <w:pPr>
              <w:wordWrap w:val="0"/>
              <w:jc w:val="right"/>
            </w:pPr>
          </w:p>
        </w:tc>
        <w:tc>
          <w:tcPr>
            <w:tcW w:w="346" w:type="dxa"/>
            <w:vAlign w:val="center"/>
          </w:tcPr>
          <w:p w:rsidR="00A93A20" w:rsidRDefault="00A93A20"/>
        </w:tc>
      </w:tr>
      <w:tr w:rsidR="00A93A20">
        <w:trPr>
          <w:trHeight w:hRule="exact" w:val="118"/>
        </w:trPr>
        <w:tc>
          <w:tcPr>
            <w:tcW w:w="9580" w:type="dxa"/>
            <w:gridSpan w:val="7"/>
            <w:tcBorders>
              <w:bottom w:val="single" w:sz="8" w:space="0" w:color="auto"/>
            </w:tcBorders>
          </w:tcPr>
          <w:p w:rsidR="00A93A20" w:rsidRDefault="00A93A20">
            <w:pPr>
              <w:jc w:val="center"/>
              <w:rPr>
                <w:rFonts w:eastAsia="黑体"/>
                <w:b/>
                <w:sz w:val="52"/>
              </w:rPr>
            </w:pPr>
          </w:p>
        </w:tc>
      </w:tr>
      <w:tr w:rsidR="00A93A20">
        <w:trPr>
          <w:trHeight w:hRule="exact" w:val="1316"/>
        </w:trPr>
        <w:tc>
          <w:tcPr>
            <w:tcW w:w="9580" w:type="dxa"/>
            <w:gridSpan w:val="7"/>
            <w:tcBorders>
              <w:top w:val="single" w:sz="8" w:space="0" w:color="auto"/>
            </w:tcBorders>
            <w:vAlign w:val="center"/>
          </w:tcPr>
          <w:p w:rsidR="00A93A20" w:rsidRDefault="00A93A20">
            <w:pPr>
              <w:rPr>
                <w:rFonts w:eastAsia="黑体"/>
                <w:sz w:val="52"/>
              </w:rPr>
            </w:pPr>
          </w:p>
        </w:tc>
      </w:tr>
      <w:tr w:rsidR="00A93A20">
        <w:trPr>
          <w:trHeight w:hRule="exact" w:val="1939"/>
        </w:trPr>
        <w:tc>
          <w:tcPr>
            <w:tcW w:w="9580" w:type="dxa"/>
            <w:gridSpan w:val="7"/>
            <w:vAlign w:val="center"/>
          </w:tcPr>
          <w:p w:rsidR="00A93A20" w:rsidRDefault="0091399B">
            <w:pPr>
              <w:spacing w:line="360" w:lineRule="auto"/>
              <w:jc w:val="center"/>
              <w:rPr>
                <w:rFonts w:ascii="黑体" w:eastAsia="黑体" w:hAnsi="仿宋"/>
                <w:sz w:val="52"/>
                <w:szCs w:val="52"/>
              </w:rPr>
            </w:pPr>
            <w:r>
              <w:rPr>
                <w:rFonts w:ascii="黑体" w:eastAsia="黑体" w:hAnsi="仿宋"/>
                <w:sz w:val="52"/>
                <w:szCs w:val="52"/>
              </w:rPr>
              <w:t>汽车耐老化 太阳跟踪聚光户外加速</w:t>
            </w:r>
          </w:p>
          <w:p w:rsidR="00A93A20" w:rsidRDefault="0091399B">
            <w:pPr>
              <w:spacing w:line="360" w:lineRule="auto"/>
              <w:jc w:val="center"/>
              <w:rPr>
                <w:rFonts w:ascii="黑体" w:eastAsia="黑体" w:hAnsi="仿宋"/>
                <w:sz w:val="52"/>
                <w:szCs w:val="52"/>
              </w:rPr>
            </w:pPr>
            <w:r>
              <w:rPr>
                <w:b/>
                <w:bCs/>
                <w:sz w:val="52"/>
                <w:szCs w:val="52"/>
              </w:rPr>
              <w:t>老化试验方法</w:t>
            </w:r>
          </w:p>
          <w:p w:rsidR="00A93A20" w:rsidRDefault="0091399B">
            <w:pPr>
              <w:spacing w:line="360" w:lineRule="auto"/>
              <w:jc w:val="center"/>
              <w:rPr>
                <w:rFonts w:ascii="黑体" w:eastAsia="黑体" w:hAnsi="仿宋"/>
                <w:sz w:val="52"/>
                <w:szCs w:val="52"/>
              </w:rPr>
            </w:pPr>
            <w:r>
              <w:rPr>
                <w:rFonts w:ascii="黑体" w:eastAsia="黑体" w:hAnsi="仿宋"/>
                <w:sz w:val="52"/>
                <w:szCs w:val="52"/>
              </w:rPr>
              <w:t>老化试验方法</w:t>
            </w:r>
          </w:p>
          <w:p w:rsidR="00A93A20" w:rsidRDefault="00A93A20">
            <w:pPr>
              <w:spacing w:line="360" w:lineRule="auto"/>
              <w:jc w:val="center"/>
              <w:rPr>
                <w:rFonts w:ascii="黑体" w:eastAsia="黑体" w:hAnsi="仿宋"/>
                <w:sz w:val="52"/>
                <w:szCs w:val="52"/>
              </w:rPr>
            </w:pPr>
          </w:p>
          <w:p w:rsidR="00A93A20" w:rsidRDefault="00A93A20">
            <w:pPr>
              <w:spacing w:line="360" w:lineRule="auto"/>
              <w:jc w:val="center"/>
              <w:rPr>
                <w:rFonts w:ascii="黑体" w:eastAsia="黑体" w:hAnsi="仿宋"/>
                <w:sz w:val="52"/>
                <w:szCs w:val="52"/>
              </w:rPr>
            </w:pPr>
          </w:p>
          <w:p w:rsidR="00A93A20" w:rsidRDefault="00A93A20">
            <w:pPr>
              <w:spacing w:line="360" w:lineRule="auto"/>
              <w:jc w:val="center"/>
              <w:rPr>
                <w:rFonts w:ascii="黑体" w:eastAsia="黑体" w:hAnsi="仿宋"/>
                <w:sz w:val="52"/>
                <w:szCs w:val="52"/>
              </w:rPr>
            </w:pPr>
          </w:p>
          <w:p w:rsidR="00A93A20" w:rsidRDefault="00A93A20">
            <w:pPr>
              <w:spacing w:line="360" w:lineRule="auto"/>
              <w:jc w:val="center"/>
              <w:rPr>
                <w:rFonts w:ascii="黑体" w:eastAsia="黑体" w:hAnsi="仿宋"/>
                <w:sz w:val="52"/>
                <w:szCs w:val="52"/>
              </w:rPr>
            </w:pPr>
          </w:p>
        </w:tc>
      </w:tr>
      <w:tr w:rsidR="00A93A20">
        <w:trPr>
          <w:trHeight w:hRule="exact" w:val="2195"/>
        </w:trPr>
        <w:tc>
          <w:tcPr>
            <w:tcW w:w="9580" w:type="dxa"/>
            <w:gridSpan w:val="7"/>
            <w:vAlign w:val="center"/>
          </w:tcPr>
          <w:p w:rsidR="00A93A20" w:rsidRDefault="00A93A20">
            <w:pPr>
              <w:rPr>
                <w:rFonts w:ascii="黑体" w:eastAsia="黑体" w:hAnsi="黑体" w:hint="eastAsia"/>
                <w:sz w:val="52"/>
                <w:szCs w:val="52"/>
              </w:rPr>
            </w:pPr>
            <w:bookmarkStart w:id="0" w:name="_GoBack"/>
            <w:bookmarkEnd w:id="0"/>
          </w:p>
          <w:p w:rsidR="00A93A20" w:rsidRPr="00704EC3" w:rsidRDefault="0091399B">
            <w:pPr>
              <w:spacing w:line="360" w:lineRule="auto"/>
              <w:ind w:leftChars="-600" w:left="219" w:rightChars="-495" w:right="-1039" w:hangingChars="526" w:hanging="1479"/>
              <w:jc w:val="center"/>
              <w:rPr>
                <w:rFonts w:ascii="黑体" w:eastAsia="黑体" w:hAnsi="黑体"/>
                <w:b/>
                <w:bCs/>
                <w:sz w:val="28"/>
                <w:szCs w:val="28"/>
              </w:rPr>
            </w:pPr>
            <w:r w:rsidRPr="00704EC3">
              <w:rPr>
                <w:rFonts w:ascii="黑体" w:eastAsia="黑体" w:hAnsi="黑体"/>
                <w:b/>
                <w:bCs/>
                <w:sz w:val="28"/>
                <w:szCs w:val="28"/>
              </w:rPr>
              <w:t>Automobile aging resistance</w:t>
            </w:r>
            <w:r w:rsidRPr="00704EC3">
              <w:rPr>
                <w:rFonts w:ascii="黑体" w:eastAsia="黑体" w:hAnsi="黑体" w:hint="eastAsia"/>
                <w:b/>
                <w:bCs/>
                <w:sz w:val="28"/>
                <w:szCs w:val="28"/>
              </w:rPr>
              <w:t>：</w:t>
            </w:r>
            <w:r w:rsidR="00704EC3">
              <w:rPr>
                <w:rFonts w:ascii="黑体" w:eastAsia="黑体" w:hAnsi="黑体"/>
                <w:b/>
                <w:bCs/>
                <w:sz w:val="28"/>
                <w:szCs w:val="28"/>
              </w:rPr>
              <w:t>o</w:t>
            </w:r>
            <w:r w:rsidRPr="00704EC3">
              <w:rPr>
                <w:rFonts w:ascii="黑体" w:eastAsia="黑体" w:hAnsi="黑体"/>
                <w:b/>
                <w:bCs/>
                <w:sz w:val="28"/>
                <w:szCs w:val="28"/>
              </w:rPr>
              <w:t xml:space="preserve">utdoor </w:t>
            </w:r>
            <w:r w:rsidR="00704EC3">
              <w:rPr>
                <w:rFonts w:ascii="黑体" w:eastAsia="黑体" w:hAnsi="黑体"/>
                <w:b/>
                <w:bCs/>
                <w:sz w:val="28"/>
                <w:szCs w:val="28"/>
              </w:rPr>
              <w:t>a</w:t>
            </w:r>
            <w:r w:rsidRPr="00704EC3">
              <w:rPr>
                <w:rFonts w:ascii="黑体" w:eastAsia="黑体" w:hAnsi="黑体"/>
                <w:b/>
                <w:bCs/>
                <w:sz w:val="28"/>
                <w:szCs w:val="28"/>
              </w:rPr>
              <w:t xml:space="preserve">ccelerated </w:t>
            </w:r>
            <w:r w:rsidR="00704EC3">
              <w:rPr>
                <w:rFonts w:ascii="黑体" w:eastAsia="黑体" w:hAnsi="黑体"/>
                <w:b/>
                <w:bCs/>
                <w:sz w:val="28"/>
                <w:szCs w:val="28"/>
              </w:rPr>
              <w:t>a</w:t>
            </w:r>
            <w:r w:rsidRPr="00704EC3">
              <w:rPr>
                <w:rFonts w:ascii="黑体" w:eastAsia="黑体" w:hAnsi="黑体"/>
                <w:b/>
                <w:bCs/>
                <w:sz w:val="28"/>
                <w:szCs w:val="28"/>
              </w:rPr>
              <w:t xml:space="preserve">ging </w:t>
            </w:r>
            <w:r w:rsidR="00704EC3">
              <w:rPr>
                <w:rFonts w:ascii="黑体" w:eastAsia="黑体" w:hAnsi="黑体"/>
                <w:b/>
                <w:bCs/>
                <w:sz w:val="28"/>
                <w:szCs w:val="28"/>
              </w:rPr>
              <w:t>t</w:t>
            </w:r>
            <w:r w:rsidRPr="00704EC3">
              <w:rPr>
                <w:rFonts w:ascii="黑体" w:eastAsia="黑体" w:hAnsi="黑体"/>
                <w:b/>
                <w:bCs/>
                <w:sz w:val="28"/>
                <w:szCs w:val="28"/>
              </w:rPr>
              <w:t xml:space="preserve">est </w:t>
            </w:r>
            <w:r w:rsidR="00704EC3">
              <w:rPr>
                <w:rFonts w:ascii="黑体" w:eastAsia="黑体" w:hAnsi="黑体"/>
                <w:b/>
                <w:bCs/>
                <w:sz w:val="28"/>
                <w:szCs w:val="28"/>
              </w:rPr>
              <w:t>m</w:t>
            </w:r>
            <w:r w:rsidRPr="00704EC3">
              <w:rPr>
                <w:rFonts w:ascii="黑体" w:eastAsia="黑体" w:hAnsi="黑体"/>
                <w:b/>
                <w:bCs/>
                <w:sz w:val="28"/>
                <w:szCs w:val="28"/>
              </w:rPr>
              <w:t>ethod</w:t>
            </w:r>
          </w:p>
          <w:p w:rsidR="00A93A20" w:rsidRPr="00704EC3" w:rsidRDefault="0091399B">
            <w:pPr>
              <w:spacing w:line="480" w:lineRule="exact"/>
              <w:jc w:val="center"/>
              <w:rPr>
                <w:rFonts w:ascii="黑体" w:eastAsia="黑体" w:hAnsi="黑体"/>
                <w:b/>
                <w:sz w:val="28"/>
                <w:szCs w:val="28"/>
              </w:rPr>
            </w:pPr>
            <w:r w:rsidRPr="00704EC3">
              <w:rPr>
                <w:rFonts w:ascii="黑体" w:eastAsia="黑体" w:hAnsi="黑体"/>
                <w:b/>
                <w:bCs/>
                <w:sz w:val="28"/>
                <w:szCs w:val="28"/>
              </w:rPr>
              <w:t xml:space="preserve">for </w:t>
            </w:r>
            <w:r w:rsidR="00704EC3">
              <w:rPr>
                <w:rFonts w:ascii="黑体" w:eastAsia="黑体" w:hAnsi="黑体"/>
                <w:b/>
                <w:bCs/>
                <w:sz w:val="28"/>
                <w:szCs w:val="28"/>
              </w:rPr>
              <w:t>s</w:t>
            </w:r>
            <w:r w:rsidRPr="00704EC3">
              <w:rPr>
                <w:rFonts w:ascii="黑体" w:eastAsia="黑体" w:hAnsi="黑体"/>
                <w:b/>
                <w:bCs/>
                <w:sz w:val="28"/>
                <w:szCs w:val="28"/>
              </w:rPr>
              <w:t xml:space="preserve">olar </w:t>
            </w:r>
            <w:r w:rsidR="00704EC3">
              <w:rPr>
                <w:rFonts w:ascii="黑体" w:eastAsia="黑体" w:hAnsi="黑体"/>
                <w:b/>
                <w:bCs/>
                <w:sz w:val="28"/>
                <w:szCs w:val="28"/>
              </w:rPr>
              <w:t>t</w:t>
            </w:r>
            <w:r w:rsidRPr="00704EC3">
              <w:rPr>
                <w:rFonts w:ascii="黑体" w:eastAsia="黑体" w:hAnsi="黑体"/>
                <w:b/>
                <w:bCs/>
                <w:sz w:val="28"/>
                <w:szCs w:val="28"/>
              </w:rPr>
              <w:t>racking</w:t>
            </w:r>
            <w:r w:rsidRPr="00704EC3">
              <w:rPr>
                <w:rFonts w:ascii="黑体" w:eastAsia="黑体" w:hAnsi="黑体" w:hint="eastAsia"/>
                <w:b/>
                <w:bCs/>
                <w:sz w:val="28"/>
                <w:szCs w:val="28"/>
              </w:rPr>
              <w:t xml:space="preserve"> </w:t>
            </w:r>
            <w:r w:rsidR="00704EC3">
              <w:rPr>
                <w:rFonts w:ascii="黑体" w:eastAsia="黑体" w:hAnsi="黑体"/>
                <w:b/>
                <w:bCs/>
                <w:sz w:val="28"/>
                <w:szCs w:val="28"/>
              </w:rPr>
              <w:t>c</w:t>
            </w:r>
            <w:r w:rsidRPr="00704EC3">
              <w:rPr>
                <w:rFonts w:ascii="黑体" w:eastAsia="黑体" w:hAnsi="黑体"/>
                <w:b/>
                <w:bCs/>
                <w:sz w:val="28"/>
                <w:szCs w:val="28"/>
              </w:rPr>
              <w:t>oncentration</w:t>
            </w:r>
          </w:p>
          <w:p w:rsidR="00A93A20" w:rsidRDefault="00A93A20">
            <w:pPr>
              <w:snapToGrid w:val="0"/>
              <w:spacing w:line="360" w:lineRule="auto"/>
              <w:jc w:val="center"/>
              <w:rPr>
                <w:kern w:val="0"/>
                <w:sz w:val="28"/>
                <w:szCs w:val="28"/>
              </w:rPr>
            </w:pPr>
          </w:p>
          <w:p w:rsidR="00A93A20" w:rsidRDefault="00A93A20">
            <w:pPr>
              <w:snapToGrid w:val="0"/>
              <w:spacing w:line="360" w:lineRule="auto"/>
              <w:rPr>
                <w:sz w:val="28"/>
                <w:szCs w:val="28"/>
              </w:rPr>
            </w:pPr>
          </w:p>
          <w:p w:rsidR="00A93A20" w:rsidRDefault="00A93A20">
            <w:pPr>
              <w:snapToGrid w:val="0"/>
              <w:spacing w:line="360" w:lineRule="auto"/>
              <w:jc w:val="center"/>
              <w:rPr>
                <w:szCs w:val="21"/>
              </w:rPr>
            </w:pPr>
          </w:p>
          <w:p w:rsidR="00A93A20" w:rsidRDefault="00A93A20">
            <w:pPr>
              <w:snapToGrid w:val="0"/>
              <w:spacing w:line="360" w:lineRule="auto"/>
              <w:jc w:val="center"/>
              <w:rPr>
                <w:szCs w:val="21"/>
              </w:rPr>
            </w:pPr>
          </w:p>
          <w:p w:rsidR="00A93A20" w:rsidRDefault="00A93A20">
            <w:pPr>
              <w:snapToGrid w:val="0"/>
              <w:spacing w:line="360" w:lineRule="auto"/>
              <w:jc w:val="center"/>
              <w:rPr>
                <w:szCs w:val="21"/>
              </w:rPr>
            </w:pPr>
          </w:p>
          <w:p w:rsidR="00A93A20" w:rsidRDefault="0091399B">
            <w:pPr>
              <w:snapToGrid w:val="0"/>
              <w:spacing w:before="370" w:line="360" w:lineRule="auto"/>
              <w:ind w:firstLineChars="100" w:firstLine="280"/>
              <w:textAlignment w:val="center"/>
              <w:rPr>
                <w:rFonts w:eastAsia="黑体"/>
                <w:kern w:val="0"/>
                <w:sz w:val="28"/>
                <w:szCs w:val="28"/>
              </w:rPr>
            </w:pPr>
            <w:r>
              <w:rPr>
                <w:rFonts w:eastAsia="黑体"/>
                <w:kern w:val="0"/>
                <w:sz w:val="28"/>
                <w:szCs w:val="28"/>
              </w:rPr>
              <w:t>D</w:t>
            </w:r>
            <w:r>
              <w:rPr>
                <w:rFonts w:eastAsia="黑体" w:hint="eastAsia"/>
                <w:kern w:val="0"/>
                <w:sz w:val="28"/>
                <w:szCs w:val="28"/>
              </w:rPr>
              <w:t>rafting guidelines for commercial grades standard of Chinese medicinal materials</w:t>
            </w:r>
          </w:p>
          <w:p w:rsidR="00A93A20" w:rsidRDefault="00A93A20">
            <w:pPr>
              <w:snapToGrid w:val="0"/>
              <w:spacing w:line="360" w:lineRule="auto"/>
              <w:jc w:val="center"/>
              <w:rPr>
                <w:rFonts w:eastAsia="Arial Unicode MS"/>
                <w:b/>
                <w:color w:val="000000"/>
                <w:sz w:val="28"/>
                <w:szCs w:val="28"/>
              </w:rPr>
            </w:pPr>
          </w:p>
        </w:tc>
      </w:tr>
    </w:tbl>
    <w:p w:rsidR="00A93A20" w:rsidRDefault="00A93A20"/>
    <w:p w:rsidR="00A93A20" w:rsidRPr="00704EC3" w:rsidRDefault="00704EC3" w:rsidP="00704EC3">
      <w:pPr>
        <w:jc w:val="center"/>
        <w:rPr>
          <w:rFonts w:hint="eastAsia"/>
        </w:rPr>
      </w:pPr>
      <w:r>
        <w:rPr>
          <w:rFonts w:hint="eastAsia"/>
        </w:rPr>
        <w:t>征求意见稿</w:t>
      </w:r>
    </w:p>
    <w:p w:rsidR="00A93A20" w:rsidRDefault="00A93A20"/>
    <w:p w:rsidR="00A93A20" w:rsidRDefault="00A93A20"/>
    <w:p w:rsidR="00704EC3" w:rsidRPr="00895AD0" w:rsidRDefault="00704EC3" w:rsidP="00704EC3">
      <w:pPr>
        <w:autoSpaceDE w:val="0"/>
        <w:autoSpaceDN w:val="0"/>
        <w:adjustRightInd w:val="0"/>
        <w:spacing w:line="280" w:lineRule="exact"/>
        <w:jc w:val="center"/>
        <w:rPr>
          <w:rFonts w:ascii="方正兰亭细黑_GBK" w:eastAsia="方正兰亭细黑_GBK" w:hAnsi="QHKUII+FZLTXIHK--GBK1-0" w:cs="QHKUII+FZLTXIHK--GBK1-0"/>
          <w:color w:val="221E1F"/>
          <w:sz w:val="20"/>
          <w:szCs w:val="22"/>
        </w:rPr>
      </w:pPr>
      <w:r w:rsidRPr="00895AD0">
        <w:rPr>
          <w:rFonts w:ascii="方正兰亭细黑_GBK" w:eastAsia="方正兰亭细黑_GBK" w:hAnsi="QHKUII+FZLTXIHK--GBK1-0" w:cs="QHKUII+FZLTXIHK--GBK1-0" w:hint="eastAsia"/>
          <w:color w:val="221E1F"/>
          <w:sz w:val="20"/>
          <w:szCs w:val="22"/>
        </w:rPr>
        <w:t>在提交反馈意见时，请将您知道的该标准所涉必要专利信息连同支持性文件一并附上。</w:t>
      </w:r>
    </w:p>
    <w:p w:rsidR="00A93A20" w:rsidRPr="00704EC3" w:rsidRDefault="00A93A20">
      <w:pPr>
        <w:jc w:val="right"/>
      </w:pPr>
    </w:p>
    <w:p w:rsidR="00A93A20" w:rsidRDefault="00A93A20"/>
    <w:p w:rsidR="00A93A20" w:rsidRDefault="00A93A20"/>
    <w:p w:rsidR="00A93A20" w:rsidRDefault="0091399B">
      <w:r>
        <w:rPr>
          <w:noProof/>
          <w:sz w:val="20"/>
        </w:rP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ge">
                  <wp:posOffset>8246745</wp:posOffset>
                </wp:positionV>
                <wp:extent cx="6132830" cy="1706245"/>
                <wp:effectExtent l="0" t="0" r="1270" b="8255"/>
                <wp:wrapNone/>
                <wp:docPr id="4"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706245"/>
                        </a:xfrm>
                        <a:prstGeom prst="rect">
                          <a:avLst/>
                        </a:prstGeom>
                        <a:solidFill>
                          <a:srgbClr val="FFFFFF"/>
                        </a:solidFill>
                        <a:ln>
                          <a:noFill/>
                        </a:ln>
                      </wps:spPr>
                      <wps:txbx>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A93A20">
                              <w:trPr>
                                <w:trHeight w:hRule="exact" w:val="312"/>
                                <w:jc w:val="center"/>
                              </w:trPr>
                              <w:tc>
                                <w:tcPr>
                                  <w:tcW w:w="9357" w:type="dxa"/>
                                  <w:gridSpan w:val="3"/>
                                </w:tcPr>
                                <w:p w:rsidR="00A93A20" w:rsidRDefault="00A93A20"/>
                              </w:tc>
                            </w:tr>
                            <w:tr w:rsidR="00A93A20">
                              <w:trPr>
                                <w:trHeight w:hRule="exact" w:val="567"/>
                                <w:jc w:val="center"/>
                              </w:trPr>
                              <w:tc>
                                <w:tcPr>
                                  <w:tcW w:w="9357" w:type="dxa"/>
                                  <w:gridSpan w:val="3"/>
                                </w:tcPr>
                                <w:p w:rsidR="00A93A20" w:rsidRDefault="00A93A20"/>
                              </w:tc>
                            </w:tr>
                            <w:tr w:rsidR="00A93A20">
                              <w:trPr>
                                <w:trHeight w:hRule="exact" w:val="567"/>
                                <w:jc w:val="center"/>
                              </w:trPr>
                              <w:tc>
                                <w:tcPr>
                                  <w:tcW w:w="3232" w:type="dxa"/>
                                  <w:tcBorders>
                                    <w:bottom w:val="single" w:sz="8" w:space="0" w:color="auto"/>
                                  </w:tcBorders>
                                  <w:vAlign w:val="bottom"/>
                                </w:tcPr>
                                <w:p w:rsidR="00A93A20" w:rsidRDefault="0091399B">
                                  <w:pPr>
                                    <w:rPr>
                                      <w:rFonts w:ascii="黑体" w:eastAsia="黑体" w:hAnsi="黑体"/>
                                    </w:rPr>
                                  </w:pPr>
                                  <w:r>
                                    <w:rPr>
                                      <w:rFonts w:eastAsia="黑体"/>
                                      <w:spacing w:val="10"/>
                                      <w:sz w:val="28"/>
                                      <w:szCs w:val="28"/>
                                    </w:rPr>
                                    <w:t>XXXX</w:t>
                                  </w:r>
                                  <w:r>
                                    <w:rPr>
                                      <w:rFonts w:eastAsia="黑体"/>
                                      <w:sz w:val="28"/>
                                    </w:rPr>
                                    <w:t>-XX-XX</w:t>
                                  </w:r>
                                  <w:r>
                                    <w:rPr>
                                      <w:rFonts w:ascii="黑体" w:eastAsia="黑体" w:hAnsi="黑体" w:hint="eastAsia"/>
                                      <w:sz w:val="28"/>
                                    </w:rPr>
                                    <w:t>发布</w:t>
                                  </w:r>
                                </w:p>
                              </w:tc>
                              <w:tc>
                                <w:tcPr>
                                  <w:tcW w:w="3175" w:type="dxa"/>
                                  <w:tcBorders>
                                    <w:bottom w:val="single" w:sz="8" w:space="0" w:color="auto"/>
                                  </w:tcBorders>
                                  <w:vAlign w:val="bottom"/>
                                </w:tcPr>
                                <w:p w:rsidR="00A93A20" w:rsidRDefault="00A93A20">
                                  <w:pPr>
                                    <w:jc w:val="center"/>
                                    <w:rPr>
                                      <w:rFonts w:ascii="黑体" w:eastAsia="黑体"/>
                                      <w:sz w:val="28"/>
                                    </w:rPr>
                                  </w:pPr>
                                </w:p>
                              </w:tc>
                              <w:tc>
                                <w:tcPr>
                                  <w:tcW w:w="2950" w:type="dxa"/>
                                  <w:tcBorders>
                                    <w:bottom w:val="single" w:sz="8" w:space="0" w:color="auto"/>
                                  </w:tcBorders>
                                  <w:vAlign w:val="bottom"/>
                                </w:tcPr>
                                <w:p w:rsidR="00A93A20" w:rsidRDefault="0091399B">
                                  <w:pPr>
                                    <w:jc w:val="right"/>
                                    <w:rPr>
                                      <w:rFonts w:ascii="黑体" w:eastAsia="黑体" w:hAnsi="黑体"/>
                                    </w:rPr>
                                  </w:pPr>
                                  <w:r>
                                    <w:rPr>
                                      <w:rFonts w:eastAsia="黑体"/>
                                      <w:spacing w:val="10"/>
                                      <w:sz w:val="28"/>
                                      <w:szCs w:val="28"/>
                                    </w:rPr>
                                    <w:t>XXXX</w:t>
                                  </w:r>
                                  <w:r>
                                    <w:rPr>
                                      <w:rFonts w:eastAsia="黑体"/>
                                      <w:sz w:val="28"/>
                                    </w:rPr>
                                    <w:t>-XX-XX</w:t>
                                  </w:r>
                                  <w:r>
                                    <w:rPr>
                                      <w:rFonts w:ascii="黑体" w:eastAsia="黑体" w:hAnsi="黑体" w:hint="eastAsia"/>
                                      <w:sz w:val="28"/>
                                    </w:rPr>
                                    <w:t>实施</w:t>
                                  </w:r>
                                </w:p>
                              </w:tc>
                            </w:tr>
                            <w:tr w:rsidR="00A93A20">
                              <w:trPr>
                                <w:trHeight w:hRule="exact" w:val="567"/>
                                <w:jc w:val="center"/>
                              </w:trPr>
                              <w:tc>
                                <w:tcPr>
                                  <w:tcW w:w="9357" w:type="dxa"/>
                                  <w:gridSpan w:val="3"/>
                                  <w:tcBorders>
                                    <w:top w:val="single" w:sz="8" w:space="0" w:color="auto"/>
                                  </w:tcBorders>
                                  <w:vAlign w:val="center"/>
                                </w:tcPr>
                                <w:p w:rsidR="00A93A20" w:rsidRDefault="00A93A20">
                                  <w:pPr>
                                    <w:jc w:val="center"/>
                                    <w:rPr>
                                      <w:rFonts w:eastAsia="黑体"/>
                                      <w:spacing w:val="30"/>
                                      <w:sz w:val="32"/>
                                    </w:rPr>
                                  </w:pPr>
                                </w:p>
                              </w:tc>
                            </w:tr>
                            <w:tr w:rsidR="00A93A20">
                              <w:trPr>
                                <w:trHeight w:hRule="exact" w:val="380"/>
                                <w:jc w:val="center"/>
                              </w:trPr>
                              <w:tc>
                                <w:tcPr>
                                  <w:tcW w:w="9357" w:type="dxa"/>
                                  <w:gridSpan w:val="3"/>
                                </w:tcPr>
                                <w:p w:rsidR="00A93A20" w:rsidRDefault="0091399B">
                                  <w:pPr>
                                    <w:spacing w:line="360" w:lineRule="exact"/>
                                    <w:jc w:val="center"/>
                                  </w:pPr>
                                  <w:r>
                                    <w:rPr>
                                      <w:rFonts w:eastAsia="黑体"/>
                                      <w:sz w:val="32"/>
                                      <w:szCs w:val="32"/>
                                    </w:rPr>
                                    <w:t>中国汽车工程学会</w:t>
                                  </w:r>
                                  <w:r>
                                    <w:rPr>
                                      <w:rFonts w:eastAsia="黑体" w:hint="eastAsia"/>
                                      <w:sz w:val="32"/>
                                      <w:szCs w:val="32"/>
                                    </w:rPr>
                                    <w:t xml:space="preserve">  </w:t>
                                  </w:r>
                                  <w:r>
                                    <w:rPr>
                                      <w:rFonts w:eastAsia="黑体" w:hint="eastAsia"/>
                                      <w:b/>
                                      <w:sz w:val="28"/>
                                      <w:szCs w:val="28"/>
                                    </w:rPr>
                                    <w:t>发布</w:t>
                                  </w:r>
                                </w:p>
                              </w:tc>
                            </w:tr>
                          </w:tbl>
                          <w:p w:rsidR="00A93A20" w:rsidRDefault="00A93A20"/>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1" o:spid="_x0000_s1026" type="#_x0000_t202" style="position:absolute;left:0;text-align:left;margin-left:-1.7pt;margin-top:649.35pt;width:482.9pt;height:134.3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" o:allowincell="f" stroked="f">
                <v:textbox inset="0,0,0,0">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A93A20">
                        <w:trPr>
                          <w:trHeight w:hRule="exact" w:val="312"/>
                          <w:jc w:val="center"/>
                        </w:trPr>
                        <w:tc>
                          <w:tcPr>
                            <w:tcW w:w="9357" w:type="dxa"/>
                            <w:gridSpan w:val="3"/>
                          </w:tcPr>
                          <w:p w:rsidR="00A93A20" w:rsidRDefault="00A93A20"/>
                        </w:tc>
                      </w:tr>
                      <w:tr w:rsidR="00A93A20">
                        <w:trPr>
                          <w:trHeight w:hRule="exact" w:val="567"/>
                          <w:jc w:val="center"/>
                        </w:trPr>
                        <w:tc>
                          <w:tcPr>
                            <w:tcW w:w="9357" w:type="dxa"/>
                            <w:gridSpan w:val="3"/>
                          </w:tcPr>
                          <w:p w:rsidR="00A93A20" w:rsidRDefault="00A93A20"/>
                        </w:tc>
                      </w:tr>
                      <w:tr w:rsidR="00A93A20">
                        <w:trPr>
                          <w:trHeight w:hRule="exact" w:val="567"/>
                          <w:jc w:val="center"/>
                        </w:trPr>
                        <w:tc>
                          <w:tcPr>
                            <w:tcW w:w="3232" w:type="dxa"/>
                            <w:tcBorders>
                              <w:bottom w:val="single" w:sz="8" w:space="0" w:color="auto"/>
                            </w:tcBorders>
                            <w:vAlign w:val="bottom"/>
                          </w:tcPr>
                          <w:p w:rsidR="00A93A20" w:rsidRDefault="0091399B">
                            <w:pPr>
                              <w:rPr>
                                <w:rFonts w:ascii="黑体" w:eastAsia="黑体" w:hAnsi="黑体"/>
                              </w:rPr>
                            </w:pPr>
                            <w:r>
                              <w:rPr>
                                <w:rFonts w:eastAsia="黑体"/>
                                <w:spacing w:val="10"/>
                                <w:sz w:val="28"/>
                                <w:szCs w:val="28"/>
                              </w:rPr>
                              <w:t>XXXX</w:t>
                            </w:r>
                            <w:r>
                              <w:rPr>
                                <w:rFonts w:eastAsia="黑体"/>
                                <w:sz w:val="28"/>
                              </w:rPr>
                              <w:t>-XX-XX</w:t>
                            </w:r>
                            <w:r>
                              <w:rPr>
                                <w:rFonts w:ascii="黑体" w:eastAsia="黑体" w:hAnsi="黑体" w:hint="eastAsia"/>
                                <w:sz w:val="28"/>
                              </w:rPr>
                              <w:t>发布</w:t>
                            </w:r>
                          </w:p>
                        </w:tc>
                        <w:tc>
                          <w:tcPr>
                            <w:tcW w:w="3175" w:type="dxa"/>
                            <w:tcBorders>
                              <w:bottom w:val="single" w:sz="8" w:space="0" w:color="auto"/>
                            </w:tcBorders>
                            <w:vAlign w:val="bottom"/>
                          </w:tcPr>
                          <w:p w:rsidR="00A93A20" w:rsidRDefault="00A93A20">
                            <w:pPr>
                              <w:jc w:val="center"/>
                              <w:rPr>
                                <w:rFonts w:ascii="黑体" w:eastAsia="黑体"/>
                                <w:sz w:val="28"/>
                              </w:rPr>
                            </w:pPr>
                          </w:p>
                        </w:tc>
                        <w:tc>
                          <w:tcPr>
                            <w:tcW w:w="2950" w:type="dxa"/>
                            <w:tcBorders>
                              <w:bottom w:val="single" w:sz="8" w:space="0" w:color="auto"/>
                            </w:tcBorders>
                            <w:vAlign w:val="bottom"/>
                          </w:tcPr>
                          <w:p w:rsidR="00A93A20" w:rsidRDefault="0091399B">
                            <w:pPr>
                              <w:jc w:val="right"/>
                              <w:rPr>
                                <w:rFonts w:ascii="黑体" w:eastAsia="黑体" w:hAnsi="黑体"/>
                              </w:rPr>
                            </w:pPr>
                            <w:r>
                              <w:rPr>
                                <w:rFonts w:eastAsia="黑体"/>
                                <w:spacing w:val="10"/>
                                <w:sz w:val="28"/>
                                <w:szCs w:val="28"/>
                              </w:rPr>
                              <w:t>XXXX</w:t>
                            </w:r>
                            <w:r>
                              <w:rPr>
                                <w:rFonts w:eastAsia="黑体"/>
                                <w:sz w:val="28"/>
                              </w:rPr>
                              <w:t>-XX-XX</w:t>
                            </w:r>
                            <w:r>
                              <w:rPr>
                                <w:rFonts w:ascii="黑体" w:eastAsia="黑体" w:hAnsi="黑体" w:hint="eastAsia"/>
                                <w:sz w:val="28"/>
                              </w:rPr>
                              <w:t>实施</w:t>
                            </w:r>
                          </w:p>
                        </w:tc>
                      </w:tr>
                      <w:tr w:rsidR="00A93A20">
                        <w:trPr>
                          <w:trHeight w:hRule="exact" w:val="567"/>
                          <w:jc w:val="center"/>
                        </w:trPr>
                        <w:tc>
                          <w:tcPr>
                            <w:tcW w:w="9357" w:type="dxa"/>
                            <w:gridSpan w:val="3"/>
                            <w:tcBorders>
                              <w:top w:val="single" w:sz="8" w:space="0" w:color="auto"/>
                            </w:tcBorders>
                            <w:vAlign w:val="center"/>
                          </w:tcPr>
                          <w:p w:rsidR="00A93A20" w:rsidRDefault="00A93A20">
                            <w:pPr>
                              <w:jc w:val="center"/>
                              <w:rPr>
                                <w:rFonts w:eastAsia="黑体"/>
                                <w:spacing w:val="30"/>
                                <w:sz w:val="32"/>
                              </w:rPr>
                            </w:pPr>
                          </w:p>
                        </w:tc>
                      </w:tr>
                      <w:tr w:rsidR="00A93A20">
                        <w:trPr>
                          <w:trHeight w:hRule="exact" w:val="380"/>
                          <w:jc w:val="center"/>
                        </w:trPr>
                        <w:tc>
                          <w:tcPr>
                            <w:tcW w:w="9357" w:type="dxa"/>
                            <w:gridSpan w:val="3"/>
                          </w:tcPr>
                          <w:p w:rsidR="00A93A20" w:rsidRDefault="0091399B">
                            <w:pPr>
                              <w:spacing w:line="360" w:lineRule="exact"/>
                              <w:jc w:val="center"/>
                            </w:pPr>
                            <w:r>
                              <w:rPr>
                                <w:rFonts w:eastAsia="黑体"/>
                                <w:sz w:val="32"/>
                                <w:szCs w:val="32"/>
                              </w:rPr>
                              <w:t>中国汽车工程学会</w:t>
                            </w:r>
                            <w:r>
                              <w:rPr>
                                <w:rFonts w:eastAsia="黑体" w:hint="eastAsia"/>
                                <w:sz w:val="32"/>
                                <w:szCs w:val="32"/>
                              </w:rPr>
                              <w:t xml:space="preserve">  </w:t>
                            </w:r>
                            <w:r>
                              <w:rPr>
                                <w:rFonts w:eastAsia="黑体" w:hint="eastAsia"/>
                                <w:b/>
                                <w:sz w:val="28"/>
                                <w:szCs w:val="28"/>
                              </w:rPr>
                              <w:t>发布</w:t>
                            </w:r>
                          </w:p>
                        </w:tc>
                      </w:tr>
                    </w:tbl>
                    <w:p w:rsidR="00A93A20" w:rsidRDefault="00A93A20"/>
                  </w:txbxContent>
                </v:textbox>
                <w10:wrap anchory="page"/>
              </v:shape>
            </w:pict>
          </mc:Fallback>
        </mc:AlternateContent>
      </w:r>
    </w:p>
    <w:p w:rsidR="00A93A20" w:rsidRDefault="00A93A20"/>
    <w:p w:rsidR="00A93A20" w:rsidRDefault="00A93A20"/>
    <w:p w:rsidR="00A93A20" w:rsidRDefault="00A93A20"/>
    <w:p w:rsidR="00A93A20" w:rsidRDefault="00A93A20"/>
    <w:p w:rsidR="00A93A20" w:rsidRDefault="00A93A20"/>
    <w:sdt>
      <w:sdtPr>
        <w:rPr>
          <w:lang w:val="zh-CN"/>
        </w:rPr>
        <w:id w:val="23919495"/>
        <w:docPartObj>
          <w:docPartGallery w:val="Table of Contents"/>
          <w:docPartUnique/>
        </w:docPartObj>
      </w:sdtPr>
      <w:sdtEndPr>
        <w:rPr>
          <w:lang w:val="en-US"/>
        </w:rPr>
      </w:sdtEndPr>
      <w:sdtContent>
        <w:p w:rsidR="00A93A20" w:rsidRDefault="00A93A20">
          <w:pPr>
            <w:jc w:val="center"/>
            <w:rPr>
              <w:lang w:val="zh-CN"/>
            </w:rPr>
          </w:pPr>
        </w:p>
        <w:p w:rsidR="00A93A20" w:rsidRDefault="00A93A20">
          <w:pPr>
            <w:rPr>
              <w:lang w:val="zh-CN"/>
            </w:rPr>
          </w:pPr>
        </w:p>
        <w:p w:rsidR="00A93A20" w:rsidRDefault="00A93A20">
          <w:pPr>
            <w:jc w:val="center"/>
            <w:rPr>
              <w:lang w:val="zh-CN"/>
            </w:rPr>
          </w:pPr>
        </w:p>
        <w:p w:rsidR="00A93A20" w:rsidRDefault="00A93A20">
          <w:pPr>
            <w:jc w:val="center"/>
            <w:rPr>
              <w:lang w:val="zh-CN"/>
            </w:rPr>
          </w:pPr>
        </w:p>
        <w:p w:rsidR="00A93A20" w:rsidRDefault="0091399B">
          <w:pPr>
            <w:jc w:val="center"/>
            <w:rPr>
              <w:rFonts w:ascii="黑体" w:eastAsia="黑体" w:hAnsi="黑体" w:cs="黑体"/>
              <w:b/>
              <w:bCs/>
              <w:sz w:val="32"/>
              <w:szCs w:val="32"/>
            </w:rPr>
          </w:pPr>
          <w:r>
            <w:rPr>
              <w:rFonts w:ascii="黑体" w:eastAsia="黑体" w:hAnsi="黑体" w:cs="黑体" w:hint="eastAsia"/>
              <w:b/>
              <w:bCs/>
              <w:sz w:val="32"/>
              <w:szCs w:val="32"/>
            </w:rPr>
            <w:t>目次</w:t>
          </w:r>
        </w:p>
        <w:p w:rsidR="00A93A20" w:rsidRDefault="0091399B">
          <w:pPr>
            <w:pStyle w:val="TOC1"/>
            <w:tabs>
              <w:tab w:val="right" w:leader="dot" w:pos="9638"/>
            </w:tabs>
          </w:pPr>
          <w:r>
            <w:rPr>
              <w:rStyle w:val="afc"/>
              <w:u w:val="none"/>
            </w:rPr>
            <w:fldChar w:fldCharType="begin"/>
          </w:r>
          <w:r>
            <w:rPr>
              <w:rStyle w:val="afc"/>
              <w:rFonts w:ascii="Times New Roman" w:hAnsi="Times New Roman"/>
              <w:kern w:val="2"/>
              <w:u w:val="none"/>
            </w:rPr>
            <w:instrText xml:space="preserve"> TOC \o "1-3" \h \z \u </w:instrText>
          </w:r>
          <w:r>
            <w:rPr>
              <w:rStyle w:val="afc"/>
              <w:u w:val="none"/>
            </w:rPr>
            <w:fldChar w:fldCharType="separate"/>
          </w:r>
          <w:hyperlink w:anchor="_Toc31430" w:history="1">
            <w:r>
              <w:rPr>
                <w:rFonts w:ascii="黑体" w:eastAsia="黑体" w:hAnsi="黑体" w:cs="黑体" w:hint="eastAsia"/>
                <w:szCs w:val="32"/>
              </w:rPr>
              <w:t>前   言</w:t>
            </w:r>
            <w:r>
              <w:tab/>
            </w:r>
            <w:fldSimple w:instr=" PAGEREF _Toc31430 ">
              <w:r>
                <w:t>I</w:t>
              </w:r>
            </w:fldSimple>
          </w:hyperlink>
        </w:p>
        <w:p w:rsidR="00A93A20" w:rsidRDefault="000766CD">
          <w:pPr>
            <w:pStyle w:val="TOC2"/>
            <w:tabs>
              <w:tab w:val="right" w:leader="dot" w:pos="9638"/>
            </w:tabs>
          </w:pPr>
          <w:hyperlink w:anchor="_Toc4112" w:history="1">
            <w:r w:rsidR="0091399B">
              <w:rPr>
                <w:rFonts w:hint="eastAsia"/>
              </w:rPr>
              <w:t xml:space="preserve">1  </w:t>
            </w:r>
            <w:r w:rsidR="0091399B">
              <w:rPr>
                <w:rFonts w:hint="eastAsia"/>
              </w:rPr>
              <w:t>范围</w:t>
            </w:r>
            <w:r w:rsidR="0091399B">
              <w:tab/>
            </w:r>
            <w:fldSimple w:instr=" PAGEREF _Toc4112 ">
              <w:r w:rsidR="0091399B">
                <w:t>1</w:t>
              </w:r>
            </w:fldSimple>
          </w:hyperlink>
        </w:p>
        <w:p w:rsidR="00A93A20" w:rsidRDefault="000766CD">
          <w:pPr>
            <w:pStyle w:val="TOC2"/>
            <w:tabs>
              <w:tab w:val="right" w:leader="dot" w:pos="9638"/>
            </w:tabs>
          </w:pPr>
          <w:hyperlink w:anchor="_Toc4639" w:history="1">
            <w:r w:rsidR="0091399B">
              <w:rPr>
                <w:rFonts w:hint="eastAsia"/>
              </w:rPr>
              <w:t xml:space="preserve">2  </w:t>
            </w:r>
            <w:r w:rsidR="0091399B">
              <w:rPr>
                <w:rFonts w:hint="eastAsia"/>
              </w:rPr>
              <w:t>规范性引用文件</w:t>
            </w:r>
            <w:r w:rsidR="0091399B">
              <w:tab/>
            </w:r>
            <w:fldSimple w:instr=" PAGEREF _Toc4639 ">
              <w:r w:rsidR="0091399B">
                <w:t>1</w:t>
              </w:r>
            </w:fldSimple>
          </w:hyperlink>
        </w:p>
        <w:p w:rsidR="00A93A20" w:rsidRDefault="000766CD">
          <w:pPr>
            <w:pStyle w:val="TOC2"/>
            <w:tabs>
              <w:tab w:val="right" w:leader="dot" w:pos="9638"/>
            </w:tabs>
          </w:pPr>
          <w:hyperlink w:anchor="_Toc24224" w:history="1">
            <w:r w:rsidR="0091399B">
              <w:rPr>
                <w:rFonts w:hint="eastAsia"/>
              </w:rPr>
              <w:t xml:space="preserve">3  </w:t>
            </w:r>
            <w:r w:rsidR="0091399B">
              <w:rPr>
                <w:rFonts w:hint="eastAsia"/>
              </w:rPr>
              <w:t>术语和定义</w:t>
            </w:r>
            <w:r w:rsidR="0091399B">
              <w:tab/>
            </w:r>
            <w:fldSimple w:instr=" PAGEREF _Toc24224 ">
              <w:r w:rsidR="0091399B">
                <w:t>1</w:t>
              </w:r>
            </w:fldSimple>
          </w:hyperlink>
        </w:p>
        <w:p w:rsidR="00A93A20" w:rsidRDefault="000766CD">
          <w:pPr>
            <w:pStyle w:val="TOC2"/>
            <w:tabs>
              <w:tab w:val="right" w:leader="dot" w:pos="9638"/>
            </w:tabs>
          </w:pPr>
          <w:hyperlink w:anchor="_Toc30660" w:history="1">
            <w:r w:rsidR="0091399B">
              <w:rPr>
                <w:rFonts w:hint="eastAsia"/>
              </w:rPr>
              <w:t xml:space="preserve">4  </w:t>
            </w:r>
            <w:r w:rsidR="0091399B">
              <w:rPr>
                <w:rFonts w:hint="eastAsia"/>
              </w:rPr>
              <w:t>意义和应用</w:t>
            </w:r>
            <w:r w:rsidR="0091399B">
              <w:tab/>
            </w:r>
            <w:fldSimple w:instr=" PAGEREF _Toc30660 ">
              <w:r w:rsidR="0091399B">
                <w:t>1</w:t>
              </w:r>
            </w:fldSimple>
          </w:hyperlink>
        </w:p>
        <w:p w:rsidR="00A93A20" w:rsidRDefault="000766CD">
          <w:pPr>
            <w:pStyle w:val="TOC2"/>
            <w:tabs>
              <w:tab w:val="right" w:leader="dot" w:pos="9638"/>
            </w:tabs>
          </w:pPr>
          <w:hyperlink w:anchor="_Toc3156" w:history="1">
            <w:r w:rsidR="0091399B">
              <w:rPr>
                <w:rFonts w:hint="eastAsia"/>
              </w:rPr>
              <w:t xml:space="preserve">6  </w:t>
            </w:r>
            <w:r w:rsidR="0091399B">
              <w:rPr>
                <w:rFonts w:hint="eastAsia"/>
              </w:rPr>
              <w:t>设备</w:t>
            </w:r>
            <w:r w:rsidR="0091399B">
              <w:tab/>
            </w:r>
            <w:fldSimple w:instr=" PAGEREF _Toc3156 ">
              <w:r w:rsidR="0091399B">
                <w:t>2</w:t>
              </w:r>
            </w:fldSimple>
          </w:hyperlink>
        </w:p>
        <w:p w:rsidR="00A93A20" w:rsidRDefault="000766CD">
          <w:pPr>
            <w:pStyle w:val="TOC2"/>
            <w:tabs>
              <w:tab w:val="right" w:leader="dot" w:pos="9638"/>
            </w:tabs>
          </w:pPr>
          <w:hyperlink w:anchor="_Toc23260" w:history="1">
            <w:r w:rsidR="0091399B">
              <w:rPr>
                <w:rFonts w:hAnsi="黑体" w:hint="eastAsia"/>
              </w:rPr>
              <w:t>7</w:t>
            </w:r>
            <w:r w:rsidR="0091399B">
              <w:rPr>
                <w:rFonts w:ascii="黑体" w:eastAsia="黑体" w:hAnsi="黑体" w:hint="eastAsia"/>
              </w:rPr>
              <w:t xml:space="preserve">  </w:t>
            </w:r>
            <w:r w:rsidR="0091399B">
              <w:rPr>
                <w:rFonts w:hAnsi="黑体" w:hint="eastAsia"/>
              </w:rPr>
              <w:t>用水</w:t>
            </w:r>
            <w:r w:rsidR="0091399B">
              <w:tab/>
            </w:r>
            <w:fldSimple w:instr=" PAGEREF _Toc23260 ">
              <w:r w:rsidR="0091399B">
                <w:t>3</w:t>
              </w:r>
            </w:fldSimple>
          </w:hyperlink>
        </w:p>
        <w:p w:rsidR="00A93A20" w:rsidRDefault="000766CD">
          <w:pPr>
            <w:pStyle w:val="TOC2"/>
            <w:tabs>
              <w:tab w:val="right" w:leader="dot" w:pos="9638"/>
            </w:tabs>
            <w:rPr>
              <w:rFonts w:asciiTheme="minorEastAsia" w:eastAsiaTheme="minorEastAsia" w:hAnsiTheme="minorEastAsia" w:cstheme="minorEastAsia"/>
            </w:rPr>
          </w:pPr>
          <w:hyperlink w:anchor="_Toc1548" w:history="1">
            <w:r w:rsidR="0091399B">
              <w:rPr>
                <w:rFonts w:asciiTheme="minorEastAsia" w:eastAsiaTheme="minorEastAsia" w:hAnsiTheme="minorEastAsia" w:cstheme="minorEastAsia" w:hint="eastAsia"/>
              </w:rPr>
              <w:t>8  安全预防措施</w:t>
            </w:r>
            <w:r w:rsidR="0091399B">
              <w:rPr>
                <w:rFonts w:asciiTheme="minorEastAsia" w:eastAsiaTheme="minorEastAsia" w:hAnsiTheme="minorEastAsia" w:cstheme="minorEastAsia" w:hint="eastAsia"/>
              </w:rPr>
              <w:tab/>
            </w:r>
            <w:r w:rsidR="0091399B">
              <w:rPr>
                <w:rFonts w:asciiTheme="minorEastAsia" w:eastAsiaTheme="minorEastAsia" w:hAnsiTheme="minorEastAsia" w:cstheme="minorEastAsia" w:hint="eastAsia"/>
              </w:rPr>
              <w:fldChar w:fldCharType="begin"/>
            </w:r>
            <w:r w:rsidR="0091399B">
              <w:rPr>
                <w:rFonts w:asciiTheme="minorEastAsia" w:eastAsiaTheme="minorEastAsia" w:hAnsiTheme="minorEastAsia" w:cstheme="minorEastAsia" w:hint="eastAsia"/>
              </w:rPr>
              <w:instrText xml:space="preserve"> PAGEREF _Toc1548 </w:instrText>
            </w:r>
            <w:r w:rsidR="0091399B">
              <w:rPr>
                <w:rFonts w:asciiTheme="minorEastAsia" w:eastAsiaTheme="minorEastAsia" w:hAnsiTheme="minorEastAsia" w:cstheme="minorEastAsia" w:hint="eastAsia"/>
              </w:rPr>
              <w:fldChar w:fldCharType="separate"/>
            </w:r>
            <w:r w:rsidR="0091399B">
              <w:rPr>
                <w:rFonts w:asciiTheme="minorEastAsia" w:eastAsiaTheme="minorEastAsia" w:hAnsiTheme="minorEastAsia" w:cstheme="minorEastAsia" w:hint="eastAsia"/>
              </w:rPr>
              <w:t>4</w:t>
            </w:r>
            <w:r w:rsidR="0091399B">
              <w:rPr>
                <w:rFonts w:asciiTheme="minorEastAsia" w:eastAsiaTheme="minorEastAsia" w:hAnsiTheme="minorEastAsia" w:cstheme="minorEastAsia" w:hint="eastAsia"/>
              </w:rPr>
              <w:fldChar w:fldCharType="end"/>
            </w:r>
          </w:hyperlink>
        </w:p>
        <w:p w:rsidR="00A93A20" w:rsidRDefault="000766CD">
          <w:pPr>
            <w:pStyle w:val="TOC2"/>
            <w:tabs>
              <w:tab w:val="right" w:leader="dot" w:pos="9638"/>
            </w:tabs>
            <w:rPr>
              <w:rFonts w:asciiTheme="minorEastAsia" w:eastAsiaTheme="minorEastAsia" w:hAnsiTheme="minorEastAsia" w:cstheme="minorEastAsia"/>
            </w:rPr>
          </w:pPr>
          <w:hyperlink w:anchor="_Toc19925" w:history="1">
            <w:r w:rsidR="0091399B">
              <w:rPr>
                <w:rFonts w:asciiTheme="minorEastAsia" w:eastAsiaTheme="minorEastAsia" w:hAnsiTheme="minorEastAsia" w:cstheme="minorEastAsia" w:hint="eastAsia"/>
              </w:rPr>
              <w:t>9 试样</w:t>
            </w:r>
            <w:r w:rsidR="0091399B">
              <w:rPr>
                <w:rFonts w:asciiTheme="minorEastAsia" w:eastAsiaTheme="minorEastAsia" w:hAnsiTheme="minorEastAsia" w:cstheme="minorEastAsia" w:hint="eastAsia"/>
              </w:rPr>
              <w:tab/>
            </w:r>
            <w:r w:rsidR="0091399B">
              <w:rPr>
                <w:rFonts w:asciiTheme="minorEastAsia" w:eastAsiaTheme="minorEastAsia" w:hAnsiTheme="minorEastAsia" w:cstheme="minorEastAsia" w:hint="eastAsia"/>
              </w:rPr>
              <w:fldChar w:fldCharType="begin"/>
            </w:r>
            <w:r w:rsidR="0091399B">
              <w:rPr>
                <w:rFonts w:asciiTheme="minorEastAsia" w:eastAsiaTheme="minorEastAsia" w:hAnsiTheme="minorEastAsia" w:cstheme="minorEastAsia" w:hint="eastAsia"/>
              </w:rPr>
              <w:instrText xml:space="preserve"> PAGEREF _Toc19925 </w:instrText>
            </w:r>
            <w:r w:rsidR="0091399B">
              <w:rPr>
                <w:rFonts w:asciiTheme="minorEastAsia" w:eastAsiaTheme="minorEastAsia" w:hAnsiTheme="minorEastAsia" w:cstheme="minorEastAsia" w:hint="eastAsia"/>
              </w:rPr>
              <w:fldChar w:fldCharType="separate"/>
            </w:r>
            <w:r w:rsidR="0091399B">
              <w:rPr>
                <w:rFonts w:asciiTheme="minorEastAsia" w:eastAsiaTheme="minorEastAsia" w:hAnsiTheme="minorEastAsia" w:cstheme="minorEastAsia" w:hint="eastAsia"/>
              </w:rPr>
              <w:t>4</w:t>
            </w:r>
            <w:r w:rsidR="0091399B">
              <w:rPr>
                <w:rFonts w:asciiTheme="minorEastAsia" w:eastAsiaTheme="minorEastAsia" w:hAnsiTheme="minorEastAsia" w:cstheme="minorEastAsia" w:hint="eastAsia"/>
              </w:rPr>
              <w:fldChar w:fldCharType="end"/>
            </w:r>
          </w:hyperlink>
        </w:p>
        <w:p w:rsidR="00A93A20" w:rsidRDefault="000766CD">
          <w:pPr>
            <w:pStyle w:val="TOC2"/>
            <w:tabs>
              <w:tab w:val="right" w:leader="dot" w:pos="9638"/>
            </w:tabs>
            <w:rPr>
              <w:rFonts w:asciiTheme="minorEastAsia" w:eastAsiaTheme="minorEastAsia" w:hAnsiTheme="minorEastAsia" w:cstheme="minorEastAsia"/>
            </w:rPr>
          </w:pPr>
          <w:hyperlink w:anchor="_Toc12640" w:history="1">
            <w:r w:rsidR="0091399B">
              <w:rPr>
                <w:rFonts w:asciiTheme="minorEastAsia" w:eastAsiaTheme="minorEastAsia" w:hAnsiTheme="minorEastAsia" w:cstheme="minorEastAsia" w:hint="eastAsia"/>
                <w:szCs w:val="21"/>
              </w:rPr>
              <w:t>10 程序</w:t>
            </w:r>
            <w:r w:rsidR="0091399B">
              <w:rPr>
                <w:rFonts w:asciiTheme="minorEastAsia" w:eastAsiaTheme="minorEastAsia" w:hAnsiTheme="minorEastAsia" w:cstheme="minorEastAsia" w:hint="eastAsia"/>
              </w:rPr>
              <w:tab/>
            </w:r>
            <w:r w:rsidR="0091399B">
              <w:rPr>
                <w:rFonts w:asciiTheme="minorEastAsia" w:eastAsiaTheme="minorEastAsia" w:hAnsiTheme="minorEastAsia" w:cstheme="minorEastAsia" w:hint="eastAsia"/>
              </w:rPr>
              <w:fldChar w:fldCharType="begin"/>
            </w:r>
            <w:r w:rsidR="0091399B">
              <w:rPr>
                <w:rFonts w:asciiTheme="minorEastAsia" w:eastAsiaTheme="minorEastAsia" w:hAnsiTheme="minorEastAsia" w:cstheme="minorEastAsia" w:hint="eastAsia"/>
              </w:rPr>
              <w:instrText xml:space="preserve"> PAGEREF _Toc12640 </w:instrText>
            </w:r>
            <w:r w:rsidR="0091399B">
              <w:rPr>
                <w:rFonts w:asciiTheme="minorEastAsia" w:eastAsiaTheme="minorEastAsia" w:hAnsiTheme="minorEastAsia" w:cstheme="minorEastAsia" w:hint="eastAsia"/>
              </w:rPr>
              <w:fldChar w:fldCharType="separate"/>
            </w:r>
            <w:r w:rsidR="0091399B">
              <w:rPr>
                <w:rFonts w:asciiTheme="minorEastAsia" w:eastAsiaTheme="minorEastAsia" w:hAnsiTheme="minorEastAsia" w:cstheme="minorEastAsia" w:hint="eastAsia"/>
              </w:rPr>
              <w:t>5</w:t>
            </w:r>
            <w:r w:rsidR="0091399B">
              <w:rPr>
                <w:rFonts w:asciiTheme="minorEastAsia" w:eastAsiaTheme="minorEastAsia" w:hAnsiTheme="minorEastAsia" w:cstheme="minorEastAsia" w:hint="eastAsia"/>
              </w:rPr>
              <w:fldChar w:fldCharType="end"/>
            </w:r>
          </w:hyperlink>
        </w:p>
        <w:p w:rsidR="00A93A20" w:rsidRDefault="000766CD">
          <w:pPr>
            <w:pStyle w:val="TOC2"/>
            <w:tabs>
              <w:tab w:val="right" w:leader="dot" w:pos="9638"/>
            </w:tabs>
          </w:pPr>
          <w:hyperlink w:anchor="_Toc20798" w:history="1">
            <w:r w:rsidR="0091399B">
              <w:rPr>
                <w:rFonts w:asciiTheme="minorEastAsia" w:eastAsiaTheme="minorEastAsia" w:hAnsiTheme="minorEastAsia" w:cstheme="minorEastAsia" w:hint="eastAsia"/>
                <w:szCs w:val="21"/>
              </w:rPr>
              <w:t>11报告</w:t>
            </w:r>
            <w:r w:rsidR="0091399B">
              <w:rPr>
                <w:rFonts w:asciiTheme="minorEastAsia" w:eastAsiaTheme="minorEastAsia" w:hAnsiTheme="minorEastAsia" w:cstheme="minorEastAsia" w:hint="eastAsia"/>
              </w:rPr>
              <w:tab/>
            </w:r>
            <w:r w:rsidR="0091399B">
              <w:rPr>
                <w:rFonts w:asciiTheme="minorEastAsia" w:eastAsiaTheme="minorEastAsia" w:hAnsiTheme="minorEastAsia" w:cstheme="minorEastAsia" w:hint="eastAsia"/>
              </w:rPr>
              <w:fldChar w:fldCharType="begin"/>
            </w:r>
            <w:r w:rsidR="0091399B">
              <w:rPr>
                <w:rFonts w:asciiTheme="minorEastAsia" w:eastAsiaTheme="minorEastAsia" w:hAnsiTheme="minorEastAsia" w:cstheme="minorEastAsia" w:hint="eastAsia"/>
              </w:rPr>
              <w:instrText xml:space="preserve"> PAGEREF _Toc20798 </w:instrText>
            </w:r>
            <w:r w:rsidR="0091399B">
              <w:rPr>
                <w:rFonts w:asciiTheme="minorEastAsia" w:eastAsiaTheme="minorEastAsia" w:hAnsiTheme="minorEastAsia" w:cstheme="minorEastAsia" w:hint="eastAsia"/>
              </w:rPr>
              <w:fldChar w:fldCharType="separate"/>
            </w:r>
            <w:r w:rsidR="0091399B">
              <w:rPr>
                <w:rFonts w:asciiTheme="minorEastAsia" w:eastAsiaTheme="minorEastAsia" w:hAnsiTheme="minorEastAsia" w:cstheme="minorEastAsia" w:hint="eastAsia"/>
              </w:rPr>
              <w:t>6</w:t>
            </w:r>
            <w:r w:rsidR="0091399B">
              <w:rPr>
                <w:rFonts w:asciiTheme="minorEastAsia" w:eastAsiaTheme="minorEastAsia" w:hAnsiTheme="minorEastAsia" w:cstheme="minorEastAsia" w:hint="eastAsia"/>
              </w:rPr>
              <w:fldChar w:fldCharType="end"/>
            </w:r>
          </w:hyperlink>
        </w:p>
        <w:p w:rsidR="00A93A20" w:rsidRDefault="0091399B">
          <w:r>
            <w:fldChar w:fldCharType="end"/>
          </w:r>
        </w:p>
      </w:sdtContent>
    </w:sdt>
    <w:p w:rsidR="00A93A20" w:rsidRDefault="00A93A20"/>
    <w:p w:rsidR="00A93A20" w:rsidRDefault="00A93A20"/>
    <w:p w:rsidR="00A93A20" w:rsidRDefault="00A93A20"/>
    <w:p w:rsidR="00A93A20" w:rsidRDefault="00A93A20"/>
    <w:p w:rsidR="00A93A20" w:rsidRDefault="00A93A20"/>
    <w:p w:rsidR="00A93A20" w:rsidRDefault="00A93A20"/>
    <w:p w:rsidR="00A93A20" w:rsidRDefault="00A93A20"/>
    <w:p w:rsidR="00A93A20" w:rsidRDefault="0091399B">
      <w:pPr>
        <w:tabs>
          <w:tab w:val="left" w:pos="6799"/>
        </w:tabs>
        <w:jc w:val="left"/>
        <w:sectPr w:rsidR="00A93A20">
          <w:headerReference w:type="even" r:id="rId9"/>
          <w:headerReference w:type="default" r:id="rId10"/>
          <w:footerReference w:type="even" r:id="rId11"/>
          <w:pgSz w:w="11906" w:h="16838"/>
          <w:pgMar w:top="1843" w:right="1134" w:bottom="1134" w:left="1134" w:header="113" w:footer="624" w:gutter="0"/>
          <w:cols w:space="720"/>
          <w:docGrid w:type="lines" w:linePitch="312"/>
        </w:sectPr>
      </w:pPr>
      <w:r>
        <w:rPr>
          <w:rFonts w:hint="eastAsia"/>
        </w:rPr>
        <w:tab/>
      </w:r>
    </w:p>
    <w:tbl>
      <w:tblPr>
        <w:tblW w:w="9319" w:type="dxa"/>
        <w:tblInd w:w="26" w:type="dxa"/>
        <w:tblLayout w:type="fixed"/>
        <w:tblCellMar>
          <w:left w:w="0" w:type="dxa"/>
          <w:right w:w="0" w:type="dxa"/>
        </w:tblCellMar>
        <w:tblLook w:val="04A0" w:firstRow="1" w:lastRow="0" w:firstColumn="1" w:lastColumn="0" w:noHBand="0" w:noVBand="1"/>
      </w:tblPr>
      <w:tblGrid>
        <w:gridCol w:w="9319"/>
      </w:tblGrid>
      <w:tr w:rsidR="00A93A20">
        <w:trPr>
          <w:trHeight w:hRule="exact" w:val="567"/>
        </w:trPr>
        <w:tc>
          <w:tcPr>
            <w:tcW w:w="9319" w:type="dxa"/>
            <w:vAlign w:val="center"/>
          </w:tcPr>
          <w:p w:rsidR="00A93A20" w:rsidRDefault="00A93A20">
            <w:pPr>
              <w:rPr>
                <w:rFonts w:eastAsia="华文中宋"/>
              </w:rPr>
            </w:pPr>
          </w:p>
        </w:tc>
      </w:tr>
      <w:tr w:rsidR="00A93A20">
        <w:trPr>
          <w:trHeight w:hRule="exact" w:val="360"/>
        </w:trPr>
        <w:tc>
          <w:tcPr>
            <w:tcW w:w="9319" w:type="dxa"/>
            <w:vAlign w:val="center"/>
          </w:tcPr>
          <w:p w:rsidR="00A93A20" w:rsidRDefault="0091399B">
            <w:pPr>
              <w:spacing w:line="360" w:lineRule="exact"/>
              <w:jc w:val="center"/>
              <w:outlineLvl w:val="0"/>
              <w:rPr>
                <w:rFonts w:ascii="黑体" w:eastAsia="黑体"/>
              </w:rPr>
            </w:pPr>
            <w:bookmarkStart w:id="1" w:name="_Toc32084"/>
            <w:bookmarkStart w:id="2" w:name="_Toc526082983"/>
            <w:bookmarkStart w:id="3" w:name="_Toc31430"/>
            <w:bookmarkStart w:id="4" w:name="_Toc526083196"/>
            <w:bookmarkStart w:id="5" w:name="_Toc509818962"/>
            <w:bookmarkStart w:id="6" w:name="_Toc526082934"/>
            <w:bookmarkStart w:id="7" w:name="_Toc15876"/>
            <w:bookmarkStart w:id="8" w:name="_Toc526083373"/>
            <w:bookmarkStart w:id="9" w:name="_Toc526084945"/>
            <w:bookmarkStart w:id="10" w:name="_Toc18448"/>
            <w:r>
              <w:rPr>
                <w:rFonts w:ascii="黑体" w:eastAsia="黑体" w:hAnsi="黑体" w:cs="黑体" w:hint="eastAsia"/>
                <w:sz w:val="32"/>
                <w:szCs w:val="32"/>
              </w:rPr>
              <w:t>前   言</w:t>
            </w:r>
            <w:bookmarkEnd w:id="1"/>
            <w:bookmarkEnd w:id="2"/>
            <w:bookmarkEnd w:id="3"/>
            <w:bookmarkEnd w:id="4"/>
            <w:bookmarkEnd w:id="5"/>
            <w:bookmarkEnd w:id="6"/>
            <w:bookmarkEnd w:id="7"/>
            <w:bookmarkEnd w:id="8"/>
            <w:bookmarkEnd w:id="9"/>
            <w:bookmarkEnd w:id="10"/>
          </w:p>
        </w:tc>
      </w:tr>
      <w:tr w:rsidR="00A93A20">
        <w:trPr>
          <w:trHeight w:hRule="exact" w:val="519"/>
        </w:trPr>
        <w:tc>
          <w:tcPr>
            <w:tcW w:w="9319" w:type="dxa"/>
            <w:vAlign w:val="center"/>
          </w:tcPr>
          <w:p w:rsidR="00A93A20" w:rsidRDefault="00A93A20">
            <w:pPr>
              <w:jc w:val="center"/>
              <w:rPr>
                <w:rFonts w:eastAsia="华文中宋"/>
              </w:rPr>
            </w:pPr>
          </w:p>
        </w:tc>
      </w:tr>
    </w:tbl>
    <w:p w:rsidR="00A93A20" w:rsidRPr="00C02472" w:rsidRDefault="0091399B">
      <w:pPr>
        <w:suppressAutoHyphens/>
        <w:autoSpaceDE w:val="0"/>
        <w:autoSpaceDN w:val="0"/>
        <w:adjustRightInd w:val="0"/>
        <w:snapToGrid w:val="0"/>
        <w:spacing w:line="360" w:lineRule="exact"/>
        <w:ind w:firstLine="437"/>
        <w:jc w:val="left"/>
        <w:textAlignment w:val="center"/>
        <w:rPr>
          <w:rFonts w:ascii="宋体" w:hAnsi="宋体" w:cs="方正书宋_GBK"/>
          <w:spacing w:val="8"/>
          <w:szCs w:val="21"/>
          <w:lang w:val="zh-CN"/>
        </w:rPr>
      </w:pPr>
      <w:r w:rsidRPr="00C02472">
        <w:rPr>
          <w:rFonts w:ascii="宋体" w:hAnsi="宋体" w:cs="方正书宋_GBK"/>
          <w:spacing w:val="8"/>
          <w:szCs w:val="21"/>
          <w:lang w:val="zh-CN"/>
        </w:rPr>
        <w:t>本标准</w:t>
      </w:r>
      <w:r w:rsidRPr="00C02472">
        <w:rPr>
          <w:rFonts w:ascii="宋体" w:hAnsi="宋体" w:cs="方正书宋_GBK" w:hint="eastAsia"/>
          <w:spacing w:val="8"/>
          <w:szCs w:val="21"/>
          <w:lang w:val="zh-CN"/>
        </w:rPr>
        <w:t>按照GB/T1.1－2009《标准化工作导则 第1部分：标准的结构和编写》给出的规则起草。</w:t>
      </w:r>
    </w:p>
    <w:p w:rsidR="00A93A20" w:rsidRDefault="0091399B">
      <w:pPr>
        <w:suppressAutoHyphens/>
        <w:autoSpaceDE w:val="0"/>
        <w:autoSpaceDN w:val="0"/>
        <w:adjustRightInd w:val="0"/>
        <w:snapToGrid w:val="0"/>
        <w:spacing w:line="360" w:lineRule="exact"/>
        <w:ind w:firstLine="437"/>
        <w:jc w:val="left"/>
        <w:textAlignment w:val="center"/>
        <w:rPr>
          <w:rFonts w:ascii="宋体" w:hAnsi="宋体" w:cs="方正书宋_GBK"/>
          <w:color w:val="000000"/>
          <w:spacing w:val="8"/>
          <w:szCs w:val="21"/>
          <w:lang w:val="zh-CN"/>
        </w:rPr>
      </w:pPr>
      <w:r>
        <w:rPr>
          <w:rFonts w:ascii="宋体" w:hAnsi="宋体" w:cs="方正书宋_GBK" w:hint="eastAsia"/>
          <w:color w:val="000000"/>
          <w:spacing w:val="8"/>
          <w:szCs w:val="21"/>
          <w:lang w:val="zh-CN"/>
        </w:rPr>
        <w:t>请注意本文件的某些内容可能涉及专利，本文件的发布机构不承担识别这些专利的责任。</w:t>
      </w:r>
    </w:p>
    <w:p w:rsidR="00A93A20" w:rsidRDefault="0091399B">
      <w:pPr>
        <w:suppressAutoHyphens/>
        <w:autoSpaceDE w:val="0"/>
        <w:autoSpaceDN w:val="0"/>
        <w:adjustRightInd w:val="0"/>
        <w:snapToGrid w:val="0"/>
        <w:spacing w:line="360" w:lineRule="exact"/>
        <w:ind w:firstLine="437"/>
        <w:jc w:val="left"/>
        <w:textAlignment w:val="center"/>
        <w:rPr>
          <w:rFonts w:ascii="宋体" w:hAnsi="宋体" w:cs="方正书宋_GBK"/>
          <w:color w:val="000000"/>
          <w:spacing w:val="8"/>
          <w:szCs w:val="21"/>
          <w:lang w:val="zh-CN"/>
        </w:rPr>
      </w:pPr>
      <w:r>
        <w:rPr>
          <w:rFonts w:ascii="宋体" w:hAnsi="宋体" w:cs="方正书宋_GBK"/>
          <w:color w:val="000000"/>
          <w:spacing w:val="8"/>
          <w:szCs w:val="21"/>
          <w:lang w:val="zh-CN"/>
        </w:rPr>
        <w:t>本标准由</w:t>
      </w:r>
      <w:r>
        <w:rPr>
          <w:rFonts w:ascii="宋体" w:hAnsi="宋体" w:cs="方正书宋_GBK" w:hint="eastAsia"/>
          <w:color w:val="000000"/>
          <w:spacing w:val="8"/>
          <w:szCs w:val="21"/>
          <w:lang w:val="zh-CN"/>
        </w:rPr>
        <w:t>中国汽车工程学</w:t>
      </w:r>
      <w:proofErr w:type="gramStart"/>
      <w:r>
        <w:rPr>
          <w:rFonts w:ascii="宋体" w:hAnsi="宋体" w:cs="方正书宋_GBK" w:hint="eastAsia"/>
          <w:color w:val="000000"/>
          <w:spacing w:val="8"/>
          <w:szCs w:val="21"/>
          <w:lang w:val="zh-CN"/>
        </w:rPr>
        <w:t>会汽车</w:t>
      </w:r>
      <w:proofErr w:type="gramEnd"/>
      <w:r>
        <w:rPr>
          <w:rFonts w:ascii="宋体" w:hAnsi="宋体" w:cs="方正书宋_GBK" w:hint="eastAsia"/>
          <w:color w:val="000000"/>
          <w:spacing w:val="8"/>
          <w:szCs w:val="21"/>
          <w:lang w:val="zh-CN"/>
        </w:rPr>
        <w:t>防腐蚀老化分会</w:t>
      </w:r>
      <w:r>
        <w:rPr>
          <w:rFonts w:ascii="宋体" w:hAnsi="宋体" w:cs="方正书宋_GBK"/>
          <w:color w:val="000000"/>
          <w:spacing w:val="8"/>
          <w:szCs w:val="21"/>
          <w:lang w:val="zh-CN"/>
        </w:rPr>
        <w:t>提出。</w:t>
      </w:r>
    </w:p>
    <w:p w:rsidR="00A93A20" w:rsidRPr="00C02472" w:rsidRDefault="0091399B">
      <w:pPr>
        <w:suppressAutoHyphens/>
        <w:autoSpaceDE w:val="0"/>
        <w:autoSpaceDN w:val="0"/>
        <w:adjustRightInd w:val="0"/>
        <w:snapToGrid w:val="0"/>
        <w:spacing w:line="360" w:lineRule="exact"/>
        <w:ind w:firstLine="437"/>
        <w:jc w:val="left"/>
        <w:textAlignment w:val="center"/>
        <w:rPr>
          <w:rFonts w:ascii="宋体" w:hAnsi="宋体" w:cs="方正书宋_GBK"/>
          <w:spacing w:val="8"/>
          <w:szCs w:val="21"/>
          <w:lang w:val="zh-CN"/>
        </w:rPr>
      </w:pPr>
      <w:r>
        <w:rPr>
          <w:rFonts w:ascii="宋体" w:hAnsi="宋体" w:cs="方正书宋_GBK"/>
          <w:color w:val="000000"/>
          <w:spacing w:val="8"/>
          <w:szCs w:val="21"/>
          <w:lang w:val="zh-CN"/>
        </w:rPr>
        <w:t>本标准起草单位：</w:t>
      </w:r>
      <w:r>
        <w:rPr>
          <w:rFonts w:ascii="宋体" w:hAnsi="宋体" w:cs="方正书宋_GBK" w:hint="eastAsia"/>
          <w:color w:val="000000"/>
          <w:spacing w:val="8"/>
          <w:szCs w:val="21"/>
          <w:lang w:val="zh-CN"/>
        </w:rPr>
        <w:t>神龙汽车有限公司、中国电器科学研究院股份有限公司、</w:t>
      </w:r>
      <w:r w:rsidR="00342704">
        <w:rPr>
          <w:rFonts w:ascii="宋体" w:hAnsi="宋体" w:cs="方正书宋_GBK" w:hint="eastAsia"/>
          <w:color w:val="000000"/>
          <w:spacing w:val="8"/>
          <w:szCs w:val="21"/>
          <w:lang w:val="zh-CN"/>
        </w:rPr>
        <w:t>亚太拉斯材料测试技术有限公司</w:t>
      </w:r>
      <w:r>
        <w:rPr>
          <w:rFonts w:ascii="宋体" w:hAnsi="宋体" w:cs="方正书宋_GBK" w:hint="eastAsia"/>
          <w:color w:val="000000"/>
          <w:spacing w:val="8"/>
          <w:szCs w:val="21"/>
          <w:lang w:val="zh-CN"/>
        </w:rPr>
        <w:t>、东风汽车公司技术中心、Q-LAB中国、</w:t>
      </w:r>
      <w:proofErr w:type="gramStart"/>
      <w:r>
        <w:rPr>
          <w:rFonts w:ascii="宋体" w:hAnsi="宋体" w:cs="方正书宋_GBK" w:hint="eastAsia"/>
          <w:color w:val="000000"/>
          <w:spacing w:val="8"/>
          <w:szCs w:val="21"/>
          <w:lang w:val="zh-CN"/>
        </w:rPr>
        <w:t>一</w:t>
      </w:r>
      <w:proofErr w:type="gramEnd"/>
      <w:r>
        <w:rPr>
          <w:rFonts w:ascii="宋体" w:hAnsi="宋体" w:cs="方正书宋_GBK" w:hint="eastAsia"/>
          <w:color w:val="000000"/>
          <w:spacing w:val="8"/>
          <w:szCs w:val="21"/>
          <w:lang w:val="zh-CN"/>
        </w:rPr>
        <w:t>汽大众汽车有限公司、浙江吉利汽车研究院有限公司、泛亚技术中心有限公司、</w:t>
      </w:r>
      <w:r w:rsidR="006A5370" w:rsidRPr="006A5370">
        <w:rPr>
          <w:rFonts w:ascii="宋体" w:hAnsi="宋体" w:cs="方正书宋_GBK" w:hint="eastAsia"/>
          <w:color w:val="000000"/>
          <w:spacing w:val="8"/>
          <w:szCs w:val="21"/>
          <w:lang w:val="zh-CN"/>
        </w:rPr>
        <w:t>上海汽车集团股份有限公司乘用车公司</w:t>
      </w:r>
      <w:r w:rsidR="006A5370">
        <w:rPr>
          <w:rFonts w:ascii="宋体" w:hAnsi="宋体" w:cs="方正书宋_GBK" w:hint="eastAsia"/>
          <w:color w:val="000000"/>
          <w:spacing w:val="8"/>
          <w:szCs w:val="21"/>
          <w:lang w:val="zh-CN"/>
        </w:rPr>
        <w:t>、</w:t>
      </w:r>
      <w:r w:rsidR="006A5370" w:rsidRPr="006A5370">
        <w:rPr>
          <w:rFonts w:ascii="宋体" w:hAnsi="宋体" w:cs="方正书宋_GBK" w:hint="eastAsia"/>
          <w:spacing w:val="8"/>
          <w:szCs w:val="21"/>
          <w:lang w:val="zh-CN"/>
        </w:rPr>
        <w:t>北京汽车股份有限公司汽车研究院</w:t>
      </w:r>
      <w:r w:rsidRPr="00C02472">
        <w:rPr>
          <w:rFonts w:ascii="宋体" w:hAnsi="宋体" w:cs="方正书宋_GBK" w:hint="eastAsia"/>
          <w:spacing w:val="8"/>
          <w:szCs w:val="21"/>
          <w:lang w:val="zh-CN"/>
        </w:rPr>
        <w:t>、</w:t>
      </w:r>
      <w:proofErr w:type="gramStart"/>
      <w:r w:rsidR="00342704" w:rsidRPr="00342704">
        <w:rPr>
          <w:rFonts w:ascii="宋体" w:hAnsi="宋体" w:cs="方正书宋_GBK" w:hint="eastAsia"/>
          <w:spacing w:val="8"/>
          <w:szCs w:val="21"/>
          <w:lang w:val="zh-CN"/>
        </w:rPr>
        <w:t>一</w:t>
      </w:r>
      <w:proofErr w:type="gramEnd"/>
      <w:r w:rsidR="00342704" w:rsidRPr="00342704">
        <w:rPr>
          <w:rFonts w:ascii="宋体" w:hAnsi="宋体" w:cs="方正书宋_GBK" w:hint="eastAsia"/>
          <w:spacing w:val="8"/>
          <w:szCs w:val="21"/>
          <w:lang w:val="zh-CN"/>
        </w:rPr>
        <w:t>汽新能源研究院</w:t>
      </w:r>
      <w:r w:rsidR="006A5370">
        <w:rPr>
          <w:rFonts w:ascii="宋体" w:hAnsi="宋体" w:cs="方正书宋_GBK" w:hint="eastAsia"/>
          <w:spacing w:val="8"/>
          <w:szCs w:val="21"/>
          <w:lang w:val="zh-CN"/>
        </w:rPr>
        <w:t>、</w:t>
      </w:r>
      <w:r w:rsidR="006A5370" w:rsidRPr="006A5370">
        <w:rPr>
          <w:rFonts w:ascii="宋体" w:hAnsi="宋体" w:cs="方正书宋_GBK" w:hint="eastAsia"/>
          <w:spacing w:val="8"/>
          <w:szCs w:val="21"/>
          <w:lang w:val="zh-CN"/>
        </w:rPr>
        <w:t>长安汽车工程研究总院</w:t>
      </w:r>
      <w:r w:rsidR="00342704">
        <w:rPr>
          <w:rFonts w:ascii="宋体" w:hAnsi="宋体" w:cs="方正书宋_GBK" w:hint="eastAsia"/>
          <w:spacing w:val="8"/>
          <w:szCs w:val="21"/>
          <w:lang w:val="zh-CN"/>
        </w:rPr>
        <w:t>、</w:t>
      </w:r>
      <w:r w:rsidR="00342704">
        <w:rPr>
          <w:rFonts w:ascii="宋体" w:hAnsi="宋体" w:cs="方正书宋_GBK" w:hint="eastAsia"/>
          <w:color w:val="000000"/>
          <w:spacing w:val="8"/>
          <w:szCs w:val="21"/>
          <w:lang w:val="zh-CN"/>
        </w:rPr>
        <w:t>威凯检测技术有限公司、</w:t>
      </w:r>
      <w:r w:rsidR="00824502" w:rsidRPr="00824502">
        <w:rPr>
          <w:rFonts w:ascii="宋体" w:hAnsi="宋体" w:cs="方正书宋_GBK" w:hint="eastAsia"/>
          <w:color w:val="000000"/>
          <w:spacing w:val="8"/>
          <w:szCs w:val="21"/>
          <w:lang w:val="zh-CN"/>
        </w:rPr>
        <w:t>广州合成材料研究院有限公司、</w:t>
      </w:r>
      <w:r w:rsidR="00342704" w:rsidRPr="00C02472">
        <w:rPr>
          <w:rFonts w:ascii="宋体" w:hAnsi="宋体" w:cs="方正书宋_GBK" w:hint="eastAsia"/>
          <w:spacing w:val="8"/>
          <w:szCs w:val="21"/>
          <w:lang w:val="zh-CN"/>
        </w:rPr>
        <w:t>上海市涂料研究所有限公司检测中心</w:t>
      </w:r>
    </w:p>
    <w:p w:rsidR="00A93A20" w:rsidRPr="00C02472" w:rsidRDefault="0091399B">
      <w:pPr>
        <w:suppressAutoHyphens/>
        <w:autoSpaceDE w:val="0"/>
        <w:autoSpaceDN w:val="0"/>
        <w:adjustRightInd w:val="0"/>
        <w:snapToGrid w:val="0"/>
        <w:spacing w:line="360" w:lineRule="exact"/>
        <w:ind w:firstLine="437"/>
        <w:jc w:val="left"/>
        <w:textAlignment w:val="center"/>
        <w:rPr>
          <w:rFonts w:ascii="宋体" w:hAnsi="宋体" w:cs="方正书宋_GBK"/>
          <w:spacing w:val="8"/>
          <w:szCs w:val="21"/>
          <w:lang w:val="zh-CN"/>
        </w:rPr>
      </w:pPr>
      <w:r w:rsidRPr="00C02472">
        <w:rPr>
          <w:rFonts w:ascii="宋体" w:hAnsi="宋体" w:cs="方正书宋_GBK"/>
          <w:spacing w:val="8"/>
          <w:szCs w:val="21"/>
          <w:lang w:val="zh-CN"/>
        </w:rPr>
        <w:t>本标准主要起草人：</w:t>
      </w:r>
      <w:r w:rsidRPr="00C02472">
        <w:rPr>
          <w:rFonts w:ascii="宋体" w:hAnsi="宋体" w:cs="方正书宋_GBK" w:hint="eastAsia"/>
          <w:spacing w:val="8"/>
          <w:szCs w:val="21"/>
          <w:lang w:val="zh-CN"/>
        </w:rPr>
        <w:t>杨娇娥、王受和、王俊、张凌紫、</w:t>
      </w:r>
      <w:r w:rsidR="00C02472" w:rsidRPr="00C02472">
        <w:rPr>
          <w:rFonts w:ascii="宋体" w:hAnsi="宋体" w:cs="方正书宋_GBK" w:hint="eastAsia"/>
          <w:spacing w:val="8"/>
          <w:szCs w:val="21"/>
          <w:lang w:val="zh-CN"/>
        </w:rPr>
        <w:t>陈舸</w:t>
      </w:r>
      <w:r w:rsidRPr="00C02472">
        <w:rPr>
          <w:rFonts w:ascii="宋体" w:hAnsi="宋体" w:cs="方正书宋_GBK" w:hint="eastAsia"/>
          <w:spacing w:val="8"/>
          <w:szCs w:val="21"/>
          <w:lang w:val="zh-CN"/>
        </w:rPr>
        <w:t>、</w:t>
      </w:r>
      <w:r w:rsidR="00C02472" w:rsidRPr="00C02472">
        <w:rPr>
          <w:rFonts w:ascii="宋体" w:hAnsi="宋体" w:cs="方正书宋_GBK" w:hint="eastAsia"/>
          <w:spacing w:val="8"/>
          <w:szCs w:val="21"/>
          <w:lang w:val="zh-CN"/>
        </w:rPr>
        <w:t>张晓东、</w:t>
      </w:r>
      <w:r w:rsidRPr="00C02472">
        <w:rPr>
          <w:rFonts w:ascii="宋体" w:hAnsi="宋体" w:cs="方正书宋_GBK" w:hint="eastAsia"/>
          <w:spacing w:val="8"/>
          <w:szCs w:val="21"/>
          <w:lang w:val="zh-CN"/>
        </w:rPr>
        <w:t>刘洲、孙杏蕾、于慧杰、</w:t>
      </w:r>
      <w:r w:rsidR="00C02472" w:rsidRPr="00C02472">
        <w:rPr>
          <w:rFonts w:ascii="宋体" w:hAnsi="宋体" w:cs="方正书宋_GBK" w:hint="eastAsia"/>
          <w:spacing w:val="8"/>
          <w:szCs w:val="21"/>
          <w:lang w:val="zh-CN"/>
        </w:rPr>
        <w:t>王文涛</w:t>
      </w:r>
      <w:r w:rsidRPr="00C02472">
        <w:rPr>
          <w:rFonts w:ascii="宋体" w:hAnsi="宋体" w:cs="方正书宋_GBK" w:hint="eastAsia"/>
          <w:spacing w:val="8"/>
          <w:szCs w:val="21"/>
          <w:lang w:val="zh-CN"/>
        </w:rPr>
        <w:t>、</w:t>
      </w:r>
      <w:r w:rsidR="00C02472" w:rsidRPr="00C02472">
        <w:rPr>
          <w:rFonts w:ascii="宋体" w:hAnsi="宋体" w:cs="方正书宋_GBK" w:hint="eastAsia"/>
          <w:spacing w:val="8"/>
          <w:szCs w:val="21"/>
          <w:lang w:val="zh-CN"/>
        </w:rPr>
        <w:t>刘丹、</w:t>
      </w:r>
      <w:r w:rsidR="006A5370">
        <w:rPr>
          <w:rFonts w:ascii="宋体" w:hAnsi="宋体" w:cs="方正书宋_GBK" w:hint="eastAsia"/>
          <w:spacing w:val="8"/>
          <w:szCs w:val="21"/>
          <w:lang w:val="zh-CN"/>
        </w:rPr>
        <w:t>邓家战、陆玉龙</w:t>
      </w:r>
      <w:r w:rsidRPr="00C02472">
        <w:rPr>
          <w:rFonts w:ascii="宋体" w:hAnsi="宋体" w:cs="方正书宋_GBK" w:hint="eastAsia"/>
          <w:spacing w:val="8"/>
          <w:szCs w:val="21"/>
          <w:lang w:val="zh-CN"/>
        </w:rPr>
        <w:t>、</w:t>
      </w:r>
      <w:r w:rsidR="00342704">
        <w:rPr>
          <w:rFonts w:ascii="宋体" w:hAnsi="宋体" w:cs="方正书宋_GBK" w:hint="eastAsia"/>
          <w:spacing w:val="8"/>
          <w:szCs w:val="21"/>
          <w:lang w:val="zh-CN"/>
        </w:rPr>
        <w:t>王建兵、罗西元、</w:t>
      </w:r>
      <w:r w:rsidR="00342704" w:rsidRPr="00C02472">
        <w:rPr>
          <w:rFonts w:ascii="宋体" w:hAnsi="宋体" w:cs="方正书宋_GBK" w:hint="eastAsia"/>
          <w:spacing w:val="8"/>
          <w:szCs w:val="21"/>
          <w:lang w:val="zh-CN"/>
        </w:rPr>
        <w:t>王钊桐</w:t>
      </w:r>
      <w:r w:rsidR="00342704">
        <w:rPr>
          <w:rFonts w:ascii="宋体" w:hAnsi="宋体" w:cs="方正书宋_GBK" w:hint="eastAsia"/>
          <w:spacing w:val="8"/>
          <w:szCs w:val="21"/>
          <w:lang w:val="zh-CN"/>
        </w:rPr>
        <w:t>、</w:t>
      </w:r>
      <w:r w:rsidR="00824502" w:rsidRPr="00824502">
        <w:rPr>
          <w:rFonts w:ascii="宋体" w:hAnsi="宋体" w:cs="方正书宋_GBK" w:hint="eastAsia"/>
          <w:spacing w:val="8"/>
          <w:szCs w:val="21"/>
          <w:lang w:val="zh-CN"/>
        </w:rPr>
        <w:t>尹文华、</w:t>
      </w:r>
      <w:r w:rsidR="00342704" w:rsidRPr="00C02472">
        <w:rPr>
          <w:rFonts w:ascii="宋体" w:hAnsi="宋体" w:cs="方正书宋_GBK" w:hint="eastAsia"/>
          <w:spacing w:val="8"/>
          <w:szCs w:val="21"/>
          <w:lang w:val="zh-CN"/>
        </w:rPr>
        <w:t>张伟群</w:t>
      </w:r>
    </w:p>
    <w:p w:rsidR="00A93A20" w:rsidRPr="00C02472" w:rsidRDefault="00A93A20">
      <w:pPr>
        <w:suppressAutoHyphens/>
        <w:autoSpaceDE w:val="0"/>
        <w:autoSpaceDN w:val="0"/>
        <w:adjustRightInd w:val="0"/>
        <w:snapToGrid w:val="0"/>
        <w:spacing w:line="360" w:lineRule="exact"/>
        <w:ind w:firstLine="437"/>
        <w:jc w:val="left"/>
        <w:textAlignment w:val="center"/>
        <w:rPr>
          <w:sz w:val="24"/>
        </w:rPr>
      </w:pPr>
    </w:p>
    <w:p w:rsidR="00A93A20" w:rsidRDefault="00A93A20">
      <w:pPr>
        <w:sectPr w:rsidR="00A93A20">
          <w:headerReference w:type="even" r:id="rId12"/>
          <w:headerReference w:type="default" r:id="rId13"/>
          <w:footerReference w:type="default" r:id="rId14"/>
          <w:pgSz w:w="11906" w:h="16838"/>
          <w:pgMar w:top="567" w:right="1418" w:bottom="1134" w:left="1418" w:header="1418" w:footer="1134" w:gutter="0"/>
          <w:pgNumType w:fmt="upperRoman" w:start="1"/>
          <w:cols w:space="720"/>
          <w:formProt w:val="0"/>
          <w:docGrid w:type="lines" w:linePitch="312"/>
        </w:sectPr>
      </w:pPr>
    </w:p>
    <w:tbl>
      <w:tblPr>
        <w:tblW w:w="9356" w:type="dxa"/>
        <w:tblLayout w:type="fixed"/>
        <w:tblCellMar>
          <w:left w:w="0" w:type="dxa"/>
          <w:right w:w="0" w:type="dxa"/>
        </w:tblCellMar>
        <w:tblLook w:val="04A0" w:firstRow="1" w:lastRow="0" w:firstColumn="1" w:lastColumn="0" w:noHBand="0" w:noVBand="1"/>
      </w:tblPr>
      <w:tblGrid>
        <w:gridCol w:w="9356"/>
      </w:tblGrid>
      <w:tr w:rsidR="00A93A20">
        <w:trPr>
          <w:trHeight w:hRule="exact" w:val="469"/>
        </w:trPr>
        <w:tc>
          <w:tcPr>
            <w:tcW w:w="9356" w:type="dxa"/>
            <w:vAlign w:val="center"/>
          </w:tcPr>
          <w:p w:rsidR="00A93A20" w:rsidRDefault="0091399B">
            <w:pPr>
              <w:jc w:val="center"/>
              <w:rPr>
                <w:b/>
                <w:bCs/>
                <w:sz w:val="32"/>
                <w:szCs w:val="32"/>
              </w:rPr>
            </w:pPr>
            <w:bookmarkStart w:id="11" w:name="_Toc7817_WPSOffice_Level2"/>
            <w:bookmarkStart w:id="12" w:name="_Toc24833_WPSOffice_Level2"/>
            <w:bookmarkStart w:id="13" w:name="_Toc14022"/>
            <w:bookmarkStart w:id="14" w:name="_Toc26617_WPSOffice_Level1"/>
            <w:bookmarkStart w:id="15" w:name="_Toc5331_WPSOffice_Level1"/>
            <w:bookmarkStart w:id="16" w:name="_Toc22117_WPSOffice_Level1"/>
            <w:bookmarkStart w:id="17" w:name="_Toc8863"/>
            <w:bookmarkStart w:id="18" w:name="_Toc12712"/>
            <w:bookmarkStart w:id="19" w:name="_Toc20380"/>
            <w:bookmarkStart w:id="20" w:name="_Toc12281"/>
            <w:bookmarkStart w:id="21" w:name="_Toc26014"/>
            <w:bookmarkStart w:id="22" w:name="_Toc8241"/>
            <w:bookmarkStart w:id="23" w:name="_Toc12375"/>
            <w:bookmarkStart w:id="24" w:name="_Toc16290"/>
            <w:r>
              <w:rPr>
                <w:rFonts w:ascii="黑体" w:eastAsia="黑体"/>
                <w:sz w:val="32"/>
                <w:szCs w:val="32"/>
              </w:rPr>
              <w:lastRenderedPageBreak/>
              <w:t xml:space="preserve">汽车耐老化 </w:t>
            </w:r>
            <w:bookmarkEnd w:id="11"/>
            <w:bookmarkEnd w:id="12"/>
            <w:bookmarkEnd w:id="13"/>
            <w:r>
              <w:rPr>
                <w:rFonts w:ascii="黑体" w:eastAsia="黑体"/>
                <w:sz w:val="32"/>
                <w:szCs w:val="32"/>
              </w:rPr>
              <w:t>太阳跟踪聚光户外加速老化试验方法</w:t>
            </w:r>
            <w:bookmarkEnd w:id="14"/>
            <w:bookmarkEnd w:id="15"/>
            <w:bookmarkEnd w:id="16"/>
          </w:p>
          <w:p w:rsidR="00A93A20" w:rsidRDefault="00A93A20">
            <w:pPr>
              <w:suppressAutoHyphens/>
              <w:autoSpaceDE w:val="0"/>
              <w:autoSpaceDN w:val="0"/>
              <w:adjustRightInd w:val="0"/>
              <w:spacing w:line="320" w:lineRule="atLeast"/>
              <w:ind w:firstLine="640"/>
              <w:jc w:val="center"/>
              <w:textAlignment w:val="center"/>
              <w:rPr>
                <w:rFonts w:ascii="黑体" w:eastAsia="黑体"/>
                <w:sz w:val="32"/>
                <w:szCs w:val="32"/>
              </w:rPr>
            </w:pPr>
          </w:p>
          <w:p w:rsidR="00A93A20" w:rsidRDefault="00A93A20"/>
          <w:p w:rsidR="00A93A20" w:rsidRDefault="00A93A20"/>
          <w:p w:rsidR="00A93A20" w:rsidRDefault="00A93A20"/>
          <w:p w:rsidR="00A93A20" w:rsidRDefault="00A93A20"/>
          <w:p w:rsidR="00A93A20" w:rsidRDefault="00A93A20"/>
          <w:p w:rsidR="00A93A20" w:rsidRDefault="00A93A20"/>
          <w:p w:rsidR="00A93A20" w:rsidRDefault="00A93A20"/>
          <w:p w:rsidR="00A93A20" w:rsidRDefault="00A93A20"/>
          <w:p w:rsidR="00A93A20" w:rsidRDefault="00A93A20"/>
          <w:p w:rsidR="00A93A20" w:rsidRDefault="00A93A20"/>
          <w:p w:rsidR="00A93A20" w:rsidRDefault="00A93A20">
            <w:pPr>
              <w:spacing w:line="360" w:lineRule="exact"/>
              <w:jc w:val="center"/>
              <w:rPr>
                <w:rFonts w:ascii="黑体" w:eastAsia="黑体"/>
                <w:sz w:val="32"/>
                <w:szCs w:val="32"/>
              </w:rPr>
            </w:pPr>
          </w:p>
        </w:tc>
      </w:tr>
      <w:tr w:rsidR="00A93A20">
        <w:trPr>
          <w:trHeight w:hRule="exact" w:val="316"/>
        </w:trPr>
        <w:tc>
          <w:tcPr>
            <w:tcW w:w="9356" w:type="dxa"/>
          </w:tcPr>
          <w:p w:rsidR="00A93A20" w:rsidRDefault="00A93A20">
            <w:pPr>
              <w:jc w:val="center"/>
              <w:rPr>
                <w:rFonts w:ascii="黑体" w:eastAsia="黑体"/>
                <w:sz w:val="32"/>
                <w:szCs w:val="32"/>
              </w:rPr>
            </w:pPr>
          </w:p>
        </w:tc>
      </w:tr>
    </w:tbl>
    <w:p w:rsidR="00A93A20" w:rsidRDefault="0091399B">
      <w:pPr>
        <w:pStyle w:val="a"/>
        <w:numPr>
          <w:ilvl w:val="0"/>
          <w:numId w:val="0"/>
        </w:numPr>
        <w:spacing w:beforeLines="100" w:before="312" w:afterLines="100" w:after="312"/>
        <w:jc w:val="left"/>
      </w:pPr>
      <w:bookmarkStart w:id="25" w:name="_Toc526084947"/>
      <w:bookmarkStart w:id="26" w:name="_Toc526082936"/>
      <w:bookmarkStart w:id="27" w:name="_Toc526083375"/>
      <w:bookmarkStart w:id="28" w:name="_Toc526082985"/>
      <w:bookmarkStart w:id="29" w:name="_Toc526083198"/>
      <w:bookmarkStart w:id="30" w:name="_Toc4112"/>
      <w:bookmarkStart w:id="31" w:name="_Toc424203555"/>
      <w:bookmarkStart w:id="32" w:name="_Toc459724776"/>
      <w:bookmarkStart w:id="33" w:name="_Toc459720145"/>
      <w:r>
        <w:rPr>
          <w:rFonts w:hint="eastAsia"/>
        </w:rPr>
        <w:t>1  范围</w:t>
      </w:r>
      <w:bookmarkEnd w:id="25"/>
      <w:bookmarkEnd w:id="26"/>
      <w:bookmarkEnd w:id="27"/>
      <w:bookmarkEnd w:id="28"/>
      <w:bookmarkEnd w:id="29"/>
      <w:bookmarkEnd w:id="30"/>
      <w:bookmarkEnd w:id="31"/>
    </w:p>
    <w:p w:rsidR="00A93A20" w:rsidRDefault="0091399B">
      <w:pPr>
        <w:adjustRightInd w:val="0"/>
        <w:snapToGrid w:val="0"/>
        <w:spacing w:line="360" w:lineRule="auto"/>
        <w:ind w:firstLine="420"/>
        <w:rPr>
          <w:szCs w:val="22"/>
        </w:rPr>
      </w:pPr>
      <w:bookmarkStart w:id="34" w:name="_Toc526083199"/>
      <w:bookmarkStart w:id="35" w:name="_Toc424203556"/>
      <w:bookmarkStart w:id="36" w:name="_Toc526082937"/>
      <w:bookmarkStart w:id="37" w:name="_Toc526082986"/>
      <w:bookmarkStart w:id="38" w:name="_Toc526084948"/>
      <w:bookmarkStart w:id="39" w:name="_Toc526083376"/>
      <w:r>
        <w:rPr>
          <w:rFonts w:hint="eastAsia"/>
          <w:szCs w:val="22"/>
        </w:rPr>
        <w:t xml:space="preserve">1.1 </w:t>
      </w:r>
      <w:r>
        <w:rPr>
          <w:rFonts w:hint="eastAsia"/>
          <w:szCs w:val="22"/>
        </w:rPr>
        <w:t>本标准采用以太阳为光源的菲</w:t>
      </w:r>
      <w:proofErr w:type="gramStart"/>
      <w:r>
        <w:rPr>
          <w:rFonts w:hint="eastAsia"/>
          <w:szCs w:val="22"/>
        </w:rPr>
        <w:t>涅</w:t>
      </w:r>
      <w:proofErr w:type="gramEnd"/>
      <w:r>
        <w:rPr>
          <w:rFonts w:hint="eastAsia"/>
          <w:szCs w:val="22"/>
        </w:rPr>
        <w:t>耳反射系统来进行汽车外饰材料的加速老化试验。</w:t>
      </w:r>
    </w:p>
    <w:p w:rsidR="00A93A20" w:rsidRDefault="0091399B">
      <w:pPr>
        <w:adjustRightInd w:val="0"/>
        <w:snapToGrid w:val="0"/>
        <w:spacing w:line="360" w:lineRule="auto"/>
        <w:ind w:firstLine="420"/>
        <w:rPr>
          <w:szCs w:val="22"/>
        </w:rPr>
      </w:pPr>
      <w:r>
        <w:rPr>
          <w:rFonts w:hint="eastAsia"/>
          <w:szCs w:val="22"/>
        </w:rPr>
        <w:t xml:space="preserve">1.2 </w:t>
      </w:r>
      <w:r>
        <w:rPr>
          <w:rFonts w:hint="eastAsia"/>
          <w:szCs w:val="22"/>
        </w:rPr>
        <w:t>本标准规定了利用由菲</w:t>
      </w:r>
      <w:proofErr w:type="gramStart"/>
      <w:r>
        <w:rPr>
          <w:rFonts w:hint="eastAsia"/>
          <w:szCs w:val="22"/>
        </w:rPr>
        <w:t>涅</w:t>
      </w:r>
      <w:proofErr w:type="gramEnd"/>
      <w:r>
        <w:rPr>
          <w:rFonts w:hint="eastAsia"/>
          <w:szCs w:val="22"/>
        </w:rPr>
        <w:t>耳反射系统构成的加速老化试验设备对汽车材料进行加速老化试验的方法。</w:t>
      </w:r>
    </w:p>
    <w:p w:rsidR="00A93A20" w:rsidRDefault="0091399B">
      <w:pPr>
        <w:adjustRightInd w:val="0"/>
        <w:snapToGrid w:val="0"/>
        <w:spacing w:line="360" w:lineRule="auto"/>
        <w:ind w:firstLine="420"/>
        <w:rPr>
          <w:szCs w:val="22"/>
        </w:rPr>
      </w:pPr>
      <w:r>
        <w:rPr>
          <w:rFonts w:hint="eastAsia"/>
          <w:szCs w:val="22"/>
        </w:rPr>
        <w:t xml:space="preserve">1.3 </w:t>
      </w:r>
      <w:r>
        <w:rPr>
          <w:rFonts w:hint="eastAsia"/>
          <w:szCs w:val="22"/>
        </w:rPr>
        <w:t>本标准规定的设备和方法可用于确定暴露于日光、热和潮湿下的汽车材料的相对耐老化性，前提是假设试验期间发生的对材料加速老化速率起决定性作用的物理、化学变化机理没有太大的不同。</w:t>
      </w:r>
    </w:p>
    <w:p w:rsidR="00A93A20" w:rsidRDefault="0091399B">
      <w:pPr>
        <w:adjustRightInd w:val="0"/>
        <w:snapToGrid w:val="0"/>
        <w:spacing w:line="360" w:lineRule="auto"/>
        <w:ind w:firstLine="420"/>
        <w:rPr>
          <w:szCs w:val="22"/>
        </w:rPr>
      </w:pPr>
      <w:r>
        <w:rPr>
          <w:rFonts w:hint="eastAsia"/>
          <w:szCs w:val="22"/>
        </w:rPr>
        <w:t xml:space="preserve">1.4 </w:t>
      </w:r>
      <w:r>
        <w:rPr>
          <w:rFonts w:hint="eastAsia"/>
          <w:szCs w:val="22"/>
        </w:rPr>
        <w:t>本标准采用国际单位制。</w:t>
      </w:r>
    </w:p>
    <w:p w:rsidR="00A93A20" w:rsidRDefault="0091399B">
      <w:pPr>
        <w:adjustRightInd w:val="0"/>
        <w:snapToGrid w:val="0"/>
        <w:spacing w:line="360" w:lineRule="auto"/>
        <w:ind w:firstLine="420"/>
        <w:rPr>
          <w:szCs w:val="22"/>
        </w:rPr>
      </w:pPr>
      <w:r>
        <w:rPr>
          <w:rFonts w:hint="eastAsia"/>
          <w:szCs w:val="22"/>
        </w:rPr>
        <w:t xml:space="preserve">1.5 </w:t>
      </w:r>
      <w:r>
        <w:rPr>
          <w:rFonts w:hint="eastAsia"/>
          <w:szCs w:val="22"/>
        </w:rPr>
        <w:t>本标准中没有给出采用本标准时应注意的安全事项。在使用本标准前采取适当的安全和保护健康的措施是使用者的责任。</w:t>
      </w:r>
    </w:p>
    <w:p w:rsidR="00A93A20" w:rsidRDefault="0091399B">
      <w:pPr>
        <w:pStyle w:val="a"/>
        <w:numPr>
          <w:ilvl w:val="0"/>
          <w:numId w:val="0"/>
        </w:numPr>
        <w:spacing w:beforeLines="100" w:before="312" w:afterLines="100" w:after="312"/>
        <w:jc w:val="left"/>
      </w:pPr>
      <w:bookmarkStart w:id="40" w:name="_Toc4639"/>
      <w:r>
        <w:rPr>
          <w:rFonts w:hint="eastAsia"/>
        </w:rPr>
        <w:t>2  规范性引用文件</w:t>
      </w:r>
      <w:bookmarkEnd w:id="34"/>
      <w:bookmarkEnd w:id="35"/>
      <w:bookmarkEnd w:id="36"/>
      <w:bookmarkEnd w:id="37"/>
      <w:bookmarkEnd w:id="38"/>
      <w:bookmarkEnd w:id="39"/>
      <w:bookmarkEnd w:id="40"/>
    </w:p>
    <w:p w:rsidR="00A93A20" w:rsidRDefault="0091399B">
      <w:pPr>
        <w:adjustRightInd w:val="0"/>
        <w:snapToGrid w:val="0"/>
        <w:spacing w:line="360" w:lineRule="auto"/>
        <w:ind w:firstLine="420"/>
        <w:rPr>
          <w:rFonts w:asciiTheme="minorEastAsia" w:eastAsiaTheme="minorEastAsia" w:hAnsiTheme="minorEastAsia"/>
          <w:szCs w:val="21"/>
        </w:rPr>
      </w:pPr>
      <w:bookmarkStart w:id="41" w:name="_Toc526082938"/>
      <w:bookmarkStart w:id="42" w:name="_Toc526083377"/>
      <w:bookmarkStart w:id="43" w:name="_Toc526084949"/>
      <w:bookmarkStart w:id="44" w:name="_Toc526082987"/>
      <w:bookmarkStart w:id="45" w:name="_Toc526083200"/>
      <w:bookmarkStart w:id="46" w:name="_Toc424203557"/>
      <w:r>
        <w:rPr>
          <w:rFonts w:hint="eastAsia"/>
        </w:rPr>
        <w:t>下列文件对于本文件的应用是必不可少的。凡是注日期的引用文件，仅注日期的版本适用于本文件。凡是不注日期的引用文件，其最新版本（包括所有的修改单）适用于本文件</w:t>
      </w:r>
      <w:r>
        <w:rPr>
          <w:rFonts w:asciiTheme="minorEastAsia" w:eastAsiaTheme="minorEastAsia" w:hAnsiTheme="minorEastAsia" w:hint="eastAsia"/>
          <w:szCs w:val="21"/>
        </w:rPr>
        <w:t>。</w:t>
      </w:r>
    </w:p>
    <w:p w:rsidR="00A93A20" w:rsidRDefault="0091399B">
      <w:pPr>
        <w:adjustRightInd w:val="0"/>
        <w:snapToGrid w:val="0"/>
        <w:spacing w:line="360" w:lineRule="auto"/>
        <w:ind w:firstLine="420"/>
        <w:rPr>
          <w:rFonts w:asciiTheme="minorEastAsia" w:eastAsiaTheme="minorEastAsia" w:hAnsiTheme="minorEastAsia"/>
          <w:color w:val="FF0000"/>
          <w:szCs w:val="21"/>
        </w:rPr>
      </w:pPr>
      <w:r>
        <w:rPr>
          <w:rFonts w:asciiTheme="minorEastAsia" w:eastAsiaTheme="minorEastAsia" w:hAnsiTheme="minorEastAsia" w:hint="eastAsia"/>
          <w:szCs w:val="21"/>
        </w:rPr>
        <w:t xml:space="preserve">T/CSAE 67    </w:t>
      </w:r>
      <w:r>
        <w:rPr>
          <w:rFonts w:asciiTheme="minorEastAsia" w:eastAsiaTheme="minorEastAsia" w:hAnsiTheme="minorEastAsia" w:hint="eastAsia"/>
          <w:color w:val="FF0000"/>
          <w:szCs w:val="21"/>
        </w:rPr>
        <w:t>汽车气候老化 术语和定义</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G 90    利用集中自然太</w:t>
      </w:r>
      <w:r>
        <w:rPr>
          <w:szCs w:val="22"/>
        </w:rPr>
        <w:t>阳光对非</w:t>
      </w:r>
      <w:r>
        <w:rPr>
          <w:rFonts w:asciiTheme="minorEastAsia" w:eastAsiaTheme="minorEastAsia" w:hAnsiTheme="minorEastAsia"/>
          <w:szCs w:val="21"/>
        </w:rPr>
        <w:t>金属材料进行户外加速老化的操作规范</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SAE J1961    用太阳能菲</w:t>
      </w:r>
      <w:proofErr w:type="gramStart"/>
      <w:r>
        <w:rPr>
          <w:rFonts w:asciiTheme="minorEastAsia" w:eastAsiaTheme="minorEastAsia" w:hAnsiTheme="minorEastAsia"/>
          <w:szCs w:val="21"/>
        </w:rPr>
        <w:t>涅</w:t>
      </w:r>
      <w:proofErr w:type="gramEnd"/>
      <w:r>
        <w:rPr>
          <w:rFonts w:asciiTheme="minorEastAsia" w:eastAsiaTheme="minorEastAsia" w:hAnsiTheme="minorEastAsia"/>
          <w:szCs w:val="21"/>
        </w:rPr>
        <w:t>耳反射聚集装置进行的汽车外部材料快速暴露试验</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 xml:space="preserve">ISO 877     </w:t>
      </w:r>
      <w:r>
        <w:rPr>
          <w:rFonts w:asciiTheme="minorEastAsia" w:eastAsiaTheme="minorEastAsia" w:hAnsiTheme="minorEastAsia" w:hint="eastAsia"/>
          <w:szCs w:val="21"/>
        </w:rPr>
        <w:t xml:space="preserve"> </w:t>
      </w:r>
      <w:r>
        <w:rPr>
          <w:rFonts w:asciiTheme="minorEastAsia" w:eastAsiaTheme="minorEastAsia" w:hAnsiTheme="minorEastAsia"/>
          <w:szCs w:val="21"/>
        </w:rPr>
        <w:t>塑料 直接暴露、玻璃过滤日光暴露和Fresnel聚能日光暴露试验方法</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D 4364  用集中自然光进行塑料的户外加速老化试验的规程</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D 4141  涂层的黑箱和阳光集中暴露处理用标准实施规程</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G7</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非金属材料—大气环境暴露试验标准方法</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G 113   非金属材料的自然及人工加速老化测试的标准词汇</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D 859   水中二氧化硅的测试方法</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E 772   有关太阳能量的术语</w:t>
      </w:r>
    </w:p>
    <w:p w:rsidR="00A93A20" w:rsidRDefault="0091399B">
      <w:pPr>
        <w:adjustRightInd w:val="0"/>
        <w:snapToGrid w:val="0"/>
        <w:spacing w:line="360" w:lineRule="auto"/>
        <w:ind w:firstLine="420"/>
        <w:rPr>
          <w:rFonts w:asciiTheme="minorEastAsia" w:eastAsiaTheme="minorEastAsia" w:hAnsiTheme="minorEastAsia"/>
          <w:szCs w:val="21"/>
        </w:rPr>
      </w:pPr>
      <w:r>
        <w:rPr>
          <w:rFonts w:asciiTheme="minorEastAsia" w:eastAsiaTheme="minorEastAsia" w:hAnsiTheme="minorEastAsia"/>
          <w:szCs w:val="21"/>
        </w:rPr>
        <w:t>ASTM E 903   使用积分球测定材料的太阳光吸收率、反射率和传播率的试验方法</w:t>
      </w:r>
    </w:p>
    <w:p w:rsidR="00A93A20" w:rsidRDefault="0091399B">
      <w:pPr>
        <w:pStyle w:val="a"/>
        <w:numPr>
          <w:ilvl w:val="0"/>
          <w:numId w:val="0"/>
        </w:numPr>
        <w:spacing w:beforeLines="100" w:before="312" w:afterLines="100" w:after="312"/>
        <w:jc w:val="left"/>
      </w:pPr>
      <w:bookmarkStart w:id="47" w:name="_Toc24224"/>
      <w:r>
        <w:rPr>
          <w:rFonts w:hint="eastAsia"/>
        </w:rPr>
        <w:t>3  术语和定义</w:t>
      </w:r>
      <w:bookmarkEnd w:id="41"/>
      <w:bookmarkEnd w:id="42"/>
      <w:bookmarkEnd w:id="43"/>
      <w:bookmarkEnd w:id="44"/>
      <w:bookmarkEnd w:id="45"/>
      <w:bookmarkEnd w:id="46"/>
      <w:bookmarkEnd w:id="47"/>
    </w:p>
    <w:p w:rsidR="00A93A20" w:rsidRDefault="0091399B">
      <w:pPr>
        <w:adjustRightInd w:val="0"/>
        <w:snapToGrid w:val="0"/>
        <w:spacing w:line="360" w:lineRule="auto"/>
        <w:ind w:firstLine="420"/>
      </w:pPr>
      <w:bookmarkStart w:id="48" w:name="_Toc32038"/>
      <w:bookmarkStart w:id="49" w:name="_Toc6655"/>
      <w:bookmarkStart w:id="50" w:name="_Toc5403"/>
      <w:bookmarkStart w:id="51" w:name="_Toc10264"/>
      <w:bookmarkStart w:id="52" w:name="_Toc500512155"/>
      <w:bookmarkStart w:id="53" w:name="_Toc526084950"/>
      <w:r>
        <w:rPr>
          <w:szCs w:val="22"/>
        </w:rPr>
        <w:t>术语和定义可参照</w:t>
      </w:r>
      <w:r>
        <w:rPr>
          <w:rFonts w:hint="eastAsia"/>
          <w:szCs w:val="22"/>
        </w:rPr>
        <w:t>T/CSAE 67-2018</w:t>
      </w:r>
      <w:r>
        <w:rPr>
          <w:szCs w:val="22"/>
        </w:rPr>
        <w:t>。</w:t>
      </w:r>
    </w:p>
    <w:p w:rsidR="00A93A20" w:rsidRDefault="0091399B">
      <w:pPr>
        <w:pStyle w:val="a"/>
        <w:numPr>
          <w:ilvl w:val="0"/>
          <w:numId w:val="0"/>
        </w:numPr>
        <w:spacing w:beforeLines="100" w:before="312" w:afterLines="100" w:after="312"/>
        <w:jc w:val="left"/>
      </w:pPr>
      <w:bookmarkStart w:id="54" w:name="_Toc30660"/>
      <w:r>
        <w:rPr>
          <w:rFonts w:hint="eastAsia"/>
        </w:rPr>
        <w:t>4</w:t>
      </w:r>
      <w:bookmarkStart w:id="55" w:name="_Toc16240"/>
      <w:bookmarkEnd w:id="48"/>
      <w:bookmarkEnd w:id="49"/>
      <w:bookmarkEnd w:id="50"/>
      <w:bookmarkEnd w:id="51"/>
      <w:bookmarkEnd w:id="52"/>
      <w:r>
        <w:rPr>
          <w:rFonts w:hint="eastAsia"/>
        </w:rPr>
        <w:t xml:space="preserve">  </w:t>
      </w:r>
      <w:bookmarkEnd w:id="53"/>
      <w:r>
        <w:rPr>
          <w:rFonts w:hint="eastAsia"/>
        </w:rPr>
        <w:t>意义和应用</w:t>
      </w:r>
      <w:bookmarkEnd w:id="54"/>
    </w:p>
    <w:p w:rsidR="00A93A20" w:rsidRDefault="0091399B">
      <w:pPr>
        <w:spacing w:line="360" w:lineRule="auto"/>
        <w:ind w:firstLineChars="200" w:firstLine="420"/>
        <w:rPr>
          <w:rFonts w:asciiTheme="minorEastAsia" w:eastAsiaTheme="minorEastAsia" w:hAnsiTheme="minorEastAsia" w:cstheme="minorEastAsia"/>
          <w:kern w:val="0"/>
          <w:szCs w:val="21"/>
        </w:rPr>
      </w:pPr>
      <w:bookmarkStart w:id="56" w:name="_Toc526084951"/>
      <w:bookmarkStart w:id="57" w:name="_Toc20619"/>
      <w:bookmarkEnd w:id="55"/>
      <w:r>
        <w:rPr>
          <w:rFonts w:asciiTheme="minorEastAsia" w:eastAsiaTheme="minorEastAsia" w:hAnsiTheme="minorEastAsia" w:cstheme="minorEastAsia" w:hint="eastAsia"/>
          <w:kern w:val="0"/>
          <w:szCs w:val="21"/>
        </w:rPr>
        <w:lastRenderedPageBreak/>
        <w:t>4.1  本标准的试验结果可用于比较经过特定周期试验的汽车外饰材料之间的相对耐老化性。任何加速暴露试验都不能视为对自然或现场暴露进行了完全的模拟，只有当针对被试材料的可用于比较的性能等级已经确定后，本标准的试验结果才可视为能够代表自然或现场暴露试验的结果。</w:t>
      </w:r>
    </w:p>
    <w:p w:rsidR="00A93A20" w:rsidRDefault="0091399B">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4.2  强烈建议每次试验中至少同时暴露一种参考试样，参考试样的老化机理应与进行试验的材料老化机理相同。最好是使用两种参考试样，一种具有相对好的耐久性，一种具有相对差的耐久性。</w:t>
      </w:r>
    </w:p>
    <w:p w:rsidR="00A93A20" w:rsidRDefault="0091399B">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4.3  建议每种参考试样和被试试样至少有3个试样，这样才可对试验结果进行统计评价。</w:t>
      </w:r>
    </w:p>
    <w:p w:rsidR="00A93A20" w:rsidRDefault="0091399B">
      <w:pPr>
        <w:spacing w:beforeLines="100" w:before="312" w:afterLines="100" w:after="312"/>
        <w:rPr>
          <w:rFonts w:ascii="黑体" w:eastAsia="黑体"/>
        </w:rPr>
      </w:pPr>
      <w:bookmarkStart w:id="58" w:name="_Toc514676048"/>
      <w:bookmarkStart w:id="59" w:name="_Toc519605006"/>
      <w:bookmarkStart w:id="60" w:name="_Toc514676013"/>
      <w:bookmarkStart w:id="61" w:name="_Toc526084952"/>
      <w:bookmarkStart w:id="62" w:name="_Toc493094530"/>
      <w:bookmarkStart w:id="63" w:name="_Toc523382378"/>
      <w:bookmarkStart w:id="64" w:name="_Toc493093732"/>
      <w:bookmarkStart w:id="65" w:name="_Toc523839504"/>
      <w:bookmarkStart w:id="66" w:name="_Toc523382674"/>
      <w:bookmarkStart w:id="67" w:name="_Toc493093954"/>
      <w:bookmarkEnd w:id="56"/>
      <w:r>
        <w:rPr>
          <w:rFonts w:ascii="黑体" w:eastAsia="黑体" w:hAnsi="黑体" w:hint="eastAsia"/>
        </w:rPr>
        <w:t>5</w:t>
      </w:r>
      <w:r>
        <w:rPr>
          <w:rFonts w:ascii="黑体" w:eastAsia="黑体" w:hAnsi="黑体" w:hint="eastAsia"/>
        </w:rPr>
        <w:t> </w:t>
      </w:r>
      <w:bookmarkEnd w:id="58"/>
      <w:bookmarkEnd w:id="59"/>
      <w:bookmarkEnd w:id="60"/>
      <w:bookmarkEnd w:id="61"/>
      <w:bookmarkEnd w:id="62"/>
      <w:bookmarkEnd w:id="63"/>
      <w:bookmarkEnd w:id="64"/>
      <w:bookmarkEnd w:id="65"/>
      <w:bookmarkEnd w:id="66"/>
      <w:bookmarkEnd w:id="67"/>
      <w:r>
        <w:rPr>
          <w:rFonts w:ascii="黑体" w:eastAsia="黑体" w:hint="eastAsia"/>
        </w:rPr>
        <w:t>试验场地要求</w:t>
      </w:r>
    </w:p>
    <w:p w:rsidR="00A93A20" w:rsidRDefault="0091399B">
      <w:pPr>
        <w:adjustRightInd w:val="0"/>
        <w:snapToGrid w:val="0"/>
        <w:spacing w:line="360" w:lineRule="exact"/>
        <w:ind w:firstLine="420"/>
        <w:rPr>
          <w:rFonts w:asciiTheme="minorEastAsia" w:eastAsiaTheme="minorEastAsia" w:hAnsiTheme="minorEastAsia"/>
          <w:szCs w:val="22"/>
        </w:rPr>
      </w:pPr>
      <w:r>
        <w:rPr>
          <w:rFonts w:asciiTheme="minorEastAsia" w:eastAsiaTheme="minorEastAsia" w:hAnsiTheme="minorEastAsia" w:hint="eastAsia"/>
          <w:szCs w:val="22"/>
        </w:rPr>
        <w:t>试验场地应平坦空旷，附近不允许有建筑物、树等障碍物遮挡，影响太阳辐射，场地四周建筑物或障碍物</w:t>
      </w:r>
      <w:proofErr w:type="gramStart"/>
      <w:r>
        <w:rPr>
          <w:rFonts w:asciiTheme="minorEastAsia" w:eastAsiaTheme="minorEastAsia" w:hAnsiTheme="minorEastAsia" w:hint="eastAsia"/>
          <w:szCs w:val="22"/>
        </w:rPr>
        <w:t>至试验</w:t>
      </w:r>
      <w:proofErr w:type="gramEnd"/>
      <w:r>
        <w:rPr>
          <w:rFonts w:asciiTheme="minorEastAsia" w:eastAsiaTheme="minorEastAsia" w:hAnsiTheme="minorEastAsia" w:hint="eastAsia"/>
          <w:szCs w:val="22"/>
        </w:rPr>
        <w:t>设备的距离，至少是建筑物或障碍物的3倍以上。最好在干燥、阳光充足即年日照时间大于或等于3500h的气候下使用，且试验场地年相对湿度的日平均值小于30%，空气较为干净。</w:t>
      </w:r>
    </w:p>
    <w:p w:rsidR="00A93A20" w:rsidRDefault="0091399B">
      <w:pPr>
        <w:pStyle w:val="a"/>
        <w:numPr>
          <w:ilvl w:val="0"/>
          <w:numId w:val="0"/>
        </w:numPr>
        <w:spacing w:beforeLines="100" w:before="312" w:afterLines="100" w:after="312"/>
        <w:jc w:val="left"/>
      </w:pPr>
      <w:bookmarkStart w:id="68" w:name="_Toc526084953"/>
      <w:bookmarkStart w:id="69" w:name="_Toc523382391"/>
      <w:bookmarkStart w:id="70" w:name="_Toc519605019"/>
      <w:bookmarkStart w:id="71" w:name="_Toc523382687"/>
      <w:bookmarkStart w:id="72" w:name="_Toc523839517"/>
      <w:bookmarkStart w:id="73" w:name="_Toc3156"/>
      <w:bookmarkStart w:id="74" w:name="_Toc493093967"/>
      <w:bookmarkStart w:id="75" w:name="_Toc493094543"/>
      <w:bookmarkStart w:id="76" w:name="_Toc514676061"/>
      <w:bookmarkStart w:id="77" w:name="_Toc493093745"/>
      <w:r>
        <w:rPr>
          <w:rFonts w:hint="eastAsia"/>
        </w:rPr>
        <w:t xml:space="preserve">6  </w:t>
      </w:r>
      <w:bookmarkEnd w:id="68"/>
      <w:bookmarkEnd w:id="69"/>
      <w:bookmarkEnd w:id="70"/>
      <w:bookmarkEnd w:id="71"/>
      <w:bookmarkEnd w:id="72"/>
      <w:r>
        <w:rPr>
          <w:rFonts w:hint="eastAsia"/>
        </w:rPr>
        <w:t>设备</w:t>
      </w:r>
      <w:bookmarkEnd w:id="73"/>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bookmarkStart w:id="78" w:name="_Toc526084954"/>
      <w:bookmarkStart w:id="79" w:name="_Toc519605030"/>
      <w:bookmarkStart w:id="80" w:name="_Toc523382698"/>
      <w:bookmarkStart w:id="81" w:name="_Toc523382402"/>
      <w:bookmarkStart w:id="82" w:name="_Toc523839528"/>
      <w:r>
        <w:rPr>
          <w:rFonts w:asciiTheme="minorEastAsia" w:eastAsiaTheme="minorEastAsia" w:hAnsiTheme="minorEastAsia" w:cstheme="minorEastAsia" w:hint="eastAsia"/>
          <w:szCs w:val="21"/>
        </w:rPr>
        <w:t>试验设备是一种先进的双轴自然加速老化试验设备。它是一种户外暴露设备，能自动地从早到晚跟踪太阳，且能自动补偿因季节变化而引起的不同太阳仰角的影响。同时，试验设备上的菲</w:t>
      </w:r>
      <w:proofErr w:type="gramStart"/>
      <w:r>
        <w:rPr>
          <w:rFonts w:asciiTheme="minorEastAsia" w:eastAsiaTheme="minorEastAsia" w:hAnsiTheme="minorEastAsia" w:cstheme="minorEastAsia" w:hint="eastAsia"/>
          <w:szCs w:val="21"/>
        </w:rPr>
        <w:t>涅</w:t>
      </w:r>
      <w:proofErr w:type="gramEnd"/>
      <w:r>
        <w:rPr>
          <w:rFonts w:asciiTheme="minorEastAsia" w:eastAsiaTheme="minorEastAsia" w:hAnsiTheme="minorEastAsia" w:cstheme="minorEastAsia" w:hint="eastAsia"/>
          <w:szCs w:val="21"/>
        </w:rPr>
        <w:t>耳反射系统可以把全光谱太阳光集中到测试样品上，这种跟踪太阳的日光聚集系统增加了照射到样品上的阳光能量。</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试验设备的结构示意图见图1，由菲</w:t>
      </w:r>
      <w:proofErr w:type="gramStart"/>
      <w:r>
        <w:rPr>
          <w:rFonts w:asciiTheme="minorEastAsia" w:eastAsiaTheme="minorEastAsia" w:hAnsiTheme="minorEastAsia" w:cstheme="minorEastAsia" w:hint="eastAsia"/>
          <w:szCs w:val="21"/>
        </w:rPr>
        <w:t>涅</w:t>
      </w:r>
      <w:proofErr w:type="gramEnd"/>
      <w:r>
        <w:rPr>
          <w:rFonts w:asciiTheme="minorEastAsia" w:eastAsiaTheme="minorEastAsia" w:hAnsiTheme="minorEastAsia" w:cstheme="minorEastAsia" w:hint="eastAsia"/>
          <w:szCs w:val="21"/>
        </w:rPr>
        <w:t>耳反射系统、太阳自动跟踪系统、通风冷却系统、喷淋系统等部分组成。</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菲</w:t>
      </w:r>
      <w:proofErr w:type="gramStart"/>
      <w:r>
        <w:rPr>
          <w:rFonts w:asciiTheme="minorEastAsia" w:eastAsiaTheme="minorEastAsia" w:hAnsiTheme="minorEastAsia" w:cstheme="minorEastAsia" w:hint="eastAsia"/>
          <w:szCs w:val="21"/>
        </w:rPr>
        <w:t>涅</w:t>
      </w:r>
      <w:proofErr w:type="gramEnd"/>
      <w:r>
        <w:rPr>
          <w:rFonts w:asciiTheme="minorEastAsia" w:eastAsiaTheme="minorEastAsia" w:hAnsiTheme="minorEastAsia" w:cstheme="minorEastAsia" w:hint="eastAsia"/>
          <w:szCs w:val="21"/>
        </w:rPr>
        <w:t>耳反射系统。共有10块平面镜，平面镜按抛物线的切线位置摆放，其位置可以保证在正常试验时，太阳光线经由平面镜反射到试验样品暴露区上。</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为保证反射后太阳光线的质量，除要求平面镜应平整以外，应在295nm</w:t>
      </w:r>
      <w:r>
        <w:rPr>
          <w:rFonts w:hAnsi="宋体" w:cs="宋体" w:hint="eastAsia"/>
          <w:szCs w:val="21"/>
        </w:rPr>
        <w:t>～</w:t>
      </w:r>
      <w:r>
        <w:rPr>
          <w:rFonts w:asciiTheme="minorEastAsia" w:eastAsiaTheme="minorEastAsia" w:hAnsiTheme="minorEastAsia" w:cstheme="minorEastAsia" w:hint="eastAsia"/>
          <w:szCs w:val="21"/>
        </w:rPr>
        <w:t>700nm的紫外光和可见光波长范围内具有高反射率，在310nm波长的光谱反射率大于或等于65%。</w:t>
      </w:r>
    </w:p>
    <w:p w:rsidR="00A93A20" w:rsidRDefault="00A93A20">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p>
    <w:p w:rsidR="00A93A20" w:rsidRDefault="0091399B">
      <w:pPr>
        <w:pStyle w:val="aff"/>
        <w:tabs>
          <w:tab w:val="center" w:pos="4201"/>
          <w:tab w:val="right" w:leader="dot" w:pos="9298"/>
        </w:tabs>
        <w:spacing w:line="360" w:lineRule="auto"/>
        <w:ind w:firstLine="4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lastRenderedPageBreak/>
        <w:drawing>
          <wp:inline distT="0" distB="0" distL="114300" distR="114300">
            <wp:extent cx="4187825" cy="3318510"/>
            <wp:effectExtent l="0" t="0" r="3175" b="15240"/>
            <wp:docPr id="3" name="图片 1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1.png"/>
                    <pic:cNvPicPr>
                      <a:picLocks noChangeAspect="1"/>
                    </pic:cNvPicPr>
                  </pic:nvPicPr>
                  <pic:blipFill>
                    <a:blip r:embed="rId15"/>
                    <a:srcRect l="4669" t="829" r="5307" b="2777"/>
                    <a:stretch>
                      <a:fillRect/>
                    </a:stretch>
                  </pic:blipFill>
                  <pic:spPr>
                    <a:xfrm>
                      <a:off x="0" y="0"/>
                      <a:ext cx="4187825" cy="3318510"/>
                    </a:xfrm>
                    <a:prstGeom prst="rect">
                      <a:avLst/>
                    </a:prstGeom>
                    <a:noFill/>
                    <a:ln w="9525">
                      <a:noFill/>
                    </a:ln>
                  </pic:spPr>
                </pic:pic>
              </a:graphicData>
            </a:graphic>
          </wp:inline>
        </w:drawing>
      </w:r>
    </w:p>
    <w:p w:rsidR="00A93A20" w:rsidRDefault="0091399B">
      <w:pPr>
        <w:spacing w:line="360" w:lineRule="auto"/>
        <w:jc w:val="center"/>
        <w:rPr>
          <w:rFonts w:asciiTheme="minorEastAsia" w:eastAsiaTheme="minorEastAsia" w:hAnsiTheme="minorEastAsia" w:cstheme="minorEastAsia"/>
          <w:szCs w:val="21"/>
        </w:rPr>
      </w:pPr>
      <w:bookmarkStart w:id="83" w:name="_Toc19671_WPSOffice_Level2"/>
      <w:bookmarkStart w:id="84" w:name="_Toc18242_WPSOffice_Level2"/>
      <w:r>
        <w:rPr>
          <w:rFonts w:asciiTheme="minorEastAsia" w:eastAsiaTheme="minorEastAsia" w:hAnsiTheme="minorEastAsia" w:cstheme="minorEastAsia" w:hint="eastAsia"/>
          <w:szCs w:val="21"/>
        </w:rPr>
        <w:t>1.2-通风冷却系统；3-菲</w:t>
      </w:r>
      <w:proofErr w:type="gramStart"/>
      <w:r>
        <w:rPr>
          <w:rFonts w:asciiTheme="minorEastAsia" w:eastAsiaTheme="minorEastAsia" w:hAnsiTheme="minorEastAsia" w:cstheme="minorEastAsia" w:hint="eastAsia"/>
          <w:szCs w:val="21"/>
        </w:rPr>
        <w:t>涅</w:t>
      </w:r>
      <w:proofErr w:type="gramEnd"/>
      <w:r>
        <w:rPr>
          <w:rFonts w:asciiTheme="minorEastAsia" w:eastAsiaTheme="minorEastAsia" w:hAnsiTheme="minorEastAsia" w:cstheme="minorEastAsia" w:hint="eastAsia"/>
          <w:szCs w:val="21"/>
        </w:rPr>
        <w:t>耳反射系统；</w:t>
      </w:r>
      <w:bookmarkStart w:id="85" w:name="_Toc1452_WPSOffice_Level2"/>
      <w:bookmarkStart w:id="86" w:name="_Toc10363_WPSOffice_Level2"/>
      <w:bookmarkEnd w:id="83"/>
      <w:bookmarkEnd w:id="84"/>
      <w:r>
        <w:rPr>
          <w:rFonts w:asciiTheme="minorEastAsia" w:eastAsiaTheme="minorEastAsia" w:hAnsiTheme="minorEastAsia" w:cstheme="minorEastAsia" w:hint="eastAsia"/>
          <w:szCs w:val="21"/>
        </w:rPr>
        <w:t>4.5-太阳自动跟踪系统；6-喷淋系统；</w:t>
      </w:r>
      <w:bookmarkEnd w:id="85"/>
      <w:bookmarkEnd w:id="86"/>
    </w:p>
    <w:p w:rsidR="00A93A20" w:rsidRDefault="0091399B">
      <w:pPr>
        <w:pStyle w:val="aff"/>
        <w:tabs>
          <w:tab w:val="center" w:pos="4201"/>
          <w:tab w:val="right" w:leader="dot" w:pos="9298"/>
        </w:tabs>
        <w:spacing w:beforeLines="50" w:before="156" w:line="360" w:lineRule="auto"/>
        <w:ind w:firstLineChars="0" w:firstLine="0"/>
        <w:jc w:val="center"/>
        <w:rPr>
          <w:rFonts w:asciiTheme="minorEastAsia" w:eastAsiaTheme="minorEastAsia" w:hAnsiTheme="minorEastAsia" w:cstheme="minorEastAsia"/>
          <w:szCs w:val="21"/>
        </w:rPr>
      </w:pPr>
      <w:bookmarkStart w:id="87" w:name="_Toc10724_WPSOffice_Level2"/>
      <w:bookmarkStart w:id="88" w:name="_Toc26575_WPSOffice_Level2"/>
      <w:r>
        <w:rPr>
          <w:rFonts w:asciiTheme="minorEastAsia" w:eastAsiaTheme="minorEastAsia" w:hAnsiTheme="minorEastAsia" w:cstheme="minorEastAsia" w:hint="eastAsia"/>
          <w:szCs w:val="21"/>
        </w:rPr>
        <w:t>图1 试验设备结构示意图</w:t>
      </w:r>
      <w:bookmarkEnd w:id="87"/>
      <w:bookmarkEnd w:id="88"/>
    </w:p>
    <w:p w:rsidR="00A93A20" w:rsidRDefault="0091399B">
      <w:pPr>
        <w:pStyle w:val="aff"/>
        <w:tabs>
          <w:tab w:val="center" w:pos="4201"/>
          <w:tab w:val="right" w:leader="dot" w:pos="9298"/>
        </w:tabs>
        <w:spacing w:beforeLines="50" w:before="156"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太阳自动跟踪系统。保证设备“正对”太阳，各平面反射镜处于聚焦状态。该系统由光传感器、控制系统、水平旋转装置和垂直旋转装置组成。光传感器也称感光器，它装于送风管道的顶部（面对太阳），用以“感觉”太阳光线的相对移动变化，若有相对移动变化则发出偏差信号经控制系统变换后传给相应的旋转装置，以调整装置使其处于聚焦状态。</w:t>
      </w:r>
    </w:p>
    <w:p w:rsidR="00A93A20" w:rsidRDefault="0091399B" w:rsidP="00656C9B">
      <w:pPr>
        <w:spacing w:line="360" w:lineRule="auto"/>
        <w:ind w:firstLineChars="225" w:firstLine="473"/>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通风冷却系统。由送风机、送风管道等组成，该系统可以在正常试验时保证一定风速的空气流经样品的表面，从而限制试验样品表面超温。试验设备上试验样品表面的温度与同时暴露在太阳跟踪但</w:t>
      </w:r>
      <w:proofErr w:type="gramStart"/>
      <w:r>
        <w:rPr>
          <w:rFonts w:asciiTheme="minorEastAsia" w:eastAsiaTheme="minorEastAsia" w:hAnsiTheme="minorEastAsia" w:cstheme="minorEastAsia" w:hint="eastAsia"/>
          <w:kern w:val="0"/>
          <w:szCs w:val="21"/>
        </w:rPr>
        <w:t>不</w:t>
      </w:r>
      <w:proofErr w:type="gramEnd"/>
      <w:r>
        <w:rPr>
          <w:rFonts w:asciiTheme="minorEastAsia" w:eastAsiaTheme="minorEastAsia" w:hAnsiTheme="minorEastAsia" w:cstheme="minorEastAsia" w:hint="eastAsia"/>
          <w:kern w:val="0"/>
          <w:szCs w:val="21"/>
        </w:rPr>
        <w:t>聚光设备上的试验样品表面的温度相比，一般不高于10℃。</w:t>
      </w:r>
    </w:p>
    <w:p w:rsidR="00A93A20" w:rsidRDefault="0091399B" w:rsidP="00656C9B">
      <w:pPr>
        <w:spacing w:line="360" w:lineRule="auto"/>
        <w:ind w:firstLineChars="225" w:firstLine="473"/>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喷淋系统。有些试验需要在试验循环中的某个阶段给试验样品喷淋加湿，喷淋周期与用户确定。</w:t>
      </w:r>
    </w:p>
    <w:p w:rsidR="00A93A20" w:rsidRDefault="0091399B">
      <w:pPr>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试验设备上可以在样品试验区安装一黑板温度计。该黑板温度计用于监控试验样品的表面温度可能达到的最高值。</w:t>
      </w:r>
    </w:p>
    <w:p w:rsidR="00A93A20" w:rsidRDefault="0091399B">
      <w:pPr>
        <w:pStyle w:val="a"/>
        <w:numPr>
          <w:ilvl w:val="0"/>
          <w:numId w:val="0"/>
        </w:numPr>
        <w:spacing w:beforeLines="100" w:before="312" w:afterLines="100" w:after="312"/>
        <w:jc w:val="left"/>
        <w:rPr>
          <w:rFonts w:hAnsi="黑体"/>
        </w:rPr>
      </w:pPr>
      <w:bookmarkStart w:id="89" w:name="_Toc23260"/>
      <w:r>
        <w:rPr>
          <w:rFonts w:hAnsi="黑体" w:hint="eastAsia"/>
        </w:rPr>
        <w:t>7  用水</w:t>
      </w:r>
      <w:bookmarkEnd w:id="89"/>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kern w:val="2"/>
        </w:rPr>
      </w:pPr>
      <w:r>
        <w:rPr>
          <w:rFonts w:asciiTheme="minorEastAsia" w:eastAsiaTheme="minorEastAsia" w:hAnsiTheme="minorEastAsia" w:hint="eastAsia"/>
          <w:kern w:val="2"/>
        </w:rPr>
        <w:t>试样喷淋用水应控制硅含量（小于0.01mg/L）且固体总含量不超过20mg/L。</w:t>
      </w:r>
    </w:p>
    <w:p w:rsidR="00A93A20" w:rsidRDefault="0091399B">
      <w:pPr>
        <w:pStyle w:val="a"/>
        <w:numPr>
          <w:ilvl w:val="0"/>
          <w:numId w:val="0"/>
        </w:numPr>
        <w:spacing w:beforeLines="100" w:before="312" w:afterLines="100" w:after="312"/>
        <w:jc w:val="left"/>
        <w:rPr>
          <w:rFonts w:hAnsi="黑体"/>
        </w:rPr>
      </w:pPr>
      <w:bookmarkStart w:id="90" w:name="_Toc1548"/>
      <w:r>
        <w:rPr>
          <w:rFonts w:hAnsi="黑体" w:hint="eastAsia"/>
        </w:rPr>
        <w:t>8  安全预防措施</w:t>
      </w:r>
      <w:bookmarkEnd w:id="90"/>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8.1 使用该试验设备时，需要采取必要的眼睛保护措施，避免紫外光和红外光伤害。</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 建议操作者使用防晒剂，穿戴宽松长袖衣裤、宽檐帽和其它合适的遮盖物以防止身体被晒伤。</w:t>
      </w:r>
    </w:p>
    <w:p w:rsidR="00A93A20" w:rsidRDefault="0091399B">
      <w:pPr>
        <w:pStyle w:val="a"/>
        <w:numPr>
          <w:ilvl w:val="0"/>
          <w:numId w:val="0"/>
        </w:numPr>
        <w:spacing w:beforeLines="100" w:before="312" w:afterLines="100" w:after="312"/>
        <w:jc w:val="left"/>
        <w:rPr>
          <w:rFonts w:eastAsia="宋体"/>
        </w:rPr>
      </w:pPr>
      <w:bookmarkStart w:id="91" w:name="_Toc19925"/>
      <w:r>
        <w:rPr>
          <w:rFonts w:hint="eastAsia"/>
        </w:rPr>
        <w:t>9</w:t>
      </w:r>
      <w:r>
        <w:rPr>
          <w:rFonts w:ascii="MS Mincho" w:eastAsia="MS Mincho" w:hAnsi="MS Mincho" w:cs="MS Mincho" w:hint="eastAsia"/>
        </w:rPr>
        <w:t> </w:t>
      </w:r>
      <w:bookmarkEnd w:id="74"/>
      <w:bookmarkEnd w:id="75"/>
      <w:bookmarkEnd w:id="76"/>
      <w:bookmarkEnd w:id="77"/>
      <w:bookmarkEnd w:id="78"/>
      <w:bookmarkEnd w:id="79"/>
      <w:bookmarkEnd w:id="80"/>
      <w:bookmarkEnd w:id="81"/>
      <w:bookmarkEnd w:id="82"/>
      <w:r>
        <w:rPr>
          <w:rFonts w:hint="eastAsia"/>
        </w:rPr>
        <w:t>试样</w:t>
      </w:r>
      <w:bookmarkEnd w:id="91"/>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bookmarkStart w:id="92" w:name="_Toc523382436"/>
      <w:bookmarkStart w:id="93" w:name="_Toc523382732"/>
      <w:bookmarkStart w:id="94" w:name="_Toc514676094"/>
      <w:bookmarkStart w:id="95" w:name="_Toc523839558"/>
      <w:bookmarkStart w:id="96" w:name="_Toc519605064"/>
      <w:bookmarkStart w:id="97" w:name="_Toc526084958"/>
      <w:bookmarkEnd w:id="32"/>
      <w:bookmarkEnd w:id="33"/>
      <w:bookmarkEnd w:id="57"/>
      <w:r>
        <w:rPr>
          <w:rFonts w:asciiTheme="minorEastAsia" w:eastAsiaTheme="minorEastAsia" w:hAnsiTheme="minorEastAsia" w:cstheme="minorEastAsia" w:hint="eastAsia"/>
          <w:szCs w:val="21"/>
        </w:rPr>
        <w:t>9.1 试样最大宽度为130mm，最大厚度为13mm。</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 安装在最靠近气流位置的样品的前缘应该与测试区域的前缘对齐，以避免干扰气流的均匀性。</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9.3 样品的测试面应面向反射镜安装，以接收聚集的太阳光。</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9.4 刚性样品采用无背板安装，柔性样品采用背板安装。</w:t>
      </w:r>
    </w:p>
    <w:p w:rsidR="00A93A20" w:rsidRDefault="0091399B">
      <w:pPr>
        <w:pStyle w:val="aff"/>
        <w:tabs>
          <w:tab w:val="center" w:pos="4201"/>
          <w:tab w:val="right" w:leader="dot" w:pos="9298"/>
        </w:tabs>
        <w:spacing w:line="36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9.5 </w:t>
      </w:r>
      <w:r>
        <w:rPr>
          <w:rFonts w:asciiTheme="minorEastAsia" w:eastAsiaTheme="minorEastAsia" w:hAnsiTheme="minorEastAsia" w:cstheme="minorEastAsia" w:hint="eastAsia"/>
          <w:vanish/>
          <w:szCs w:val="21"/>
        </w:rPr>
        <w:t xml:space="preserve">3.5    装时，其暴露面应朝向平面镜以接受来自平面镜反射的太阳光；    </w:t>
      </w:r>
      <w:r>
        <w:rPr>
          <w:rFonts w:asciiTheme="minorEastAsia" w:eastAsiaTheme="minorEastAsia" w:hAnsiTheme="minorEastAsia" w:cstheme="minorEastAsia" w:hint="eastAsia"/>
          <w:szCs w:val="21"/>
        </w:rPr>
        <w:t>样品的尺寸大小不一，则应按图2所示的方式排列安装。样品的安装方式不应影响冷却气流的均匀性。如果用户和试验单位协商同意，也可采用其它安装方式。</w:t>
      </w:r>
    </w:p>
    <w:p w:rsidR="00A93A20" w:rsidRDefault="0091399B" w:rsidP="00656C9B">
      <w:pPr>
        <w:spacing w:line="360" w:lineRule="auto"/>
        <w:ind w:firstLineChars="342" w:firstLine="821"/>
        <w:jc w:val="center"/>
        <w:rPr>
          <w:sz w:val="24"/>
        </w:rPr>
      </w:pPr>
      <w:r>
        <w:rPr>
          <w:sz w:val="24"/>
        </w:rPr>
        <w:object w:dxaOrig="6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45.5pt" o:ole="">
            <v:imagedata r:id="rId16" o:title=""/>
          </v:shape>
          <o:OLEObject Type="Embed" ProgID="AutoCAD.Drawing.16" ShapeID="_x0000_i1025" DrawAspect="Content" ObjectID="_1634552196" r:id="rId17"/>
        </w:object>
      </w:r>
    </w:p>
    <w:p w:rsidR="00A93A20" w:rsidRDefault="0091399B">
      <w:pPr>
        <w:spacing w:line="360" w:lineRule="auto"/>
        <w:jc w:val="center"/>
        <w:rPr>
          <w:rFonts w:asciiTheme="minorEastAsia" w:eastAsiaTheme="minorEastAsia" w:hAnsiTheme="minorEastAsia" w:cstheme="minorEastAsia"/>
          <w:szCs w:val="21"/>
        </w:rPr>
      </w:pPr>
      <w:bookmarkStart w:id="98" w:name="_Toc27069_WPSOffice_Level2"/>
      <w:bookmarkStart w:id="99" w:name="_Toc19281_WPSOffice_Level2"/>
      <w:r>
        <w:rPr>
          <w:rFonts w:asciiTheme="minorEastAsia" w:eastAsiaTheme="minorEastAsia" w:hAnsiTheme="minorEastAsia" w:cstheme="minorEastAsia" w:hint="eastAsia"/>
          <w:szCs w:val="21"/>
        </w:rPr>
        <w:t>1、2、3、4、5样品      6 气流方向       7（空气导流板侧）底板边缘</w:t>
      </w:r>
      <w:bookmarkEnd w:id="98"/>
      <w:bookmarkEnd w:id="99"/>
    </w:p>
    <w:p w:rsidR="00A93A20" w:rsidRDefault="0091399B">
      <w:pPr>
        <w:pStyle w:val="aff"/>
        <w:tabs>
          <w:tab w:val="center" w:pos="4201"/>
          <w:tab w:val="right" w:leader="dot" w:pos="9298"/>
        </w:tabs>
        <w:spacing w:line="360" w:lineRule="auto"/>
        <w:ind w:firstLine="420"/>
        <w:jc w:val="center"/>
        <w:rPr>
          <w:rFonts w:asciiTheme="minorEastAsia" w:eastAsiaTheme="minorEastAsia" w:hAnsiTheme="minorEastAsia" w:cstheme="minorEastAsia"/>
          <w:szCs w:val="21"/>
        </w:rPr>
      </w:pPr>
      <w:bookmarkStart w:id="100" w:name="_Toc9419_WPSOffice_Level2"/>
      <w:bookmarkStart w:id="101" w:name="_Toc30632_WPSOffice_Level2"/>
      <w:r>
        <w:rPr>
          <w:rFonts w:asciiTheme="minorEastAsia" w:eastAsiaTheme="minorEastAsia" w:hAnsiTheme="minorEastAsia" w:cstheme="minorEastAsia" w:hint="eastAsia"/>
          <w:szCs w:val="21"/>
        </w:rPr>
        <w:t>图2 样品的正确排列安装</w:t>
      </w:r>
      <w:bookmarkEnd w:id="100"/>
      <w:bookmarkEnd w:id="101"/>
    </w:p>
    <w:p w:rsidR="00A93A20" w:rsidRDefault="00A93A20">
      <w:pPr>
        <w:pStyle w:val="a"/>
        <w:numPr>
          <w:ilvl w:val="0"/>
          <w:numId w:val="0"/>
        </w:numPr>
        <w:spacing w:beforeLines="100" w:before="312" w:afterLines="100" w:after="312"/>
        <w:jc w:val="center"/>
      </w:pPr>
    </w:p>
    <w:p w:rsidR="00A93A20" w:rsidRDefault="00A93A20">
      <w:pPr>
        <w:pStyle w:val="a"/>
        <w:numPr>
          <w:ilvl w:val="0"/>
          <w:numId w:val="0"/>
        </w:numPr>
        <w:spacing w:beforeLines="100" w:before="312" w:afterLines="100" w:after="312"/>
        <w:jc w:val="center"/>
      </w:pPr>
    </w:p>
    <w:p w:rsidR="00A93A20" w:rsidRDefault="0091399B">
      <w:pPr>
        <w:pStyle w:val="a"/>
        <w:numPr>
          <w:ilvl w:val="0"/>
          <w:numId w:val="0"/>
        </w:numPr>
        <w:spacing w:beforeLines="100" w:before="312" w:afterLines="100" w:after="312"/>
        <w:jc w:val="left"/>
        <w:rPr>
          <w:rFonts w:hAnsi="黑体" w:cs="黑体"/>
          <w:szCs w:val="21"/>
        </w:rPr>
      </w:pPr>
      <w:bookmarkStart w:id="102" w:name="_Toc12640"/>
      <w:bookmarkStart w:id="103" w:name="_Toc21566_WPSOffice_Level1"/>
      <w:bookmarkStart w:id="104" w:name="_Toc11779"/>
      <w:bookmarkStart w:id="105" w:name="_Toc29932"/>
      <w:bookmarkStart w:id="106" w:name="_Toc21734"/>
      <w:bookmarkStart w:id="107" w:name="_Toc27127_WPSOffice_Level1"/>
      <w:bookmarkStart w:id="108" w:name="_Toc12392"/>
      <w:r>
        <w:rPr>
          <w:rFonts w:hAnsi="黑体" w:cs="黑体" w:hint="eastAsia"/>
          <w:szCs w:val="21"/>
        </w:rPr>
        <w:t>10 程序</w:t>
      </w:r>
      <w:bookmarkEnd w:id="102"/>
      <w:bookmarkEnd w:id="103"/>
      <w:bookmarkEnd w:id="104"/>
      <w:bookmarkEnd w:id="105"/>
      <w:bookmarkEnd w:id="106"/>
      <w:bookmarkEnd w:id="107"/>
      <w:bookmarkEnd w:id="108"/>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 开始试验时，将试验设备的光电太阳跟踪器朝向太阳来获取太阳光，按照要求启动喷淋系统。常规喷淋方法可参考表1，也可选用其他喷淋循环。</w:t>
      </w:r>
    </w:p>
    <w:p w:rsidR="00A93A20" w:rsidRDefault="0091399B">
      <w:pPr>
        <w:spacing w:line="360" w:lineRule="auto"/>
        <w:rPr>
          <w:rFonts w:asciiTheme="minorEastAsia" w:eastAsiaTheme="minorEastAsia" w:hAnsiTheme="minorEastAsia" w:cstheme="minorEastAsia"/>
          <w:szCs w:val="21"/>
        </w:rPr>
      </w:pPr>
      <w:bookmarkStart w:id="109" w:name="_Toc6663_WPSOffice_Level1"/>
      <w:bookmarkStart w:id="110" w:name="_Toc24537_WPSOffice_Level1"/>
      <w:r>
        <w:rPr>
          <w:rFonts w:asciiTheme="minorEastAsia" w:eastAsiaTheme="minorEastAsia" w:hAnsiTheme="minorEastAsia" w:cstheme="minorEastAsia" w:hint="eastAsia"/>
          <w:szCs w:val="21"/>
        </w:rPr>
        <w:t>10.1.1 喷淋方法1可用于湿热地区汽车外饰件的自然暴露,每小时一次的喷淋为其提供热冲击效应</w:t>
      </w:r>
      <w:bookmarkEnd w:id="109"/>
      <w:bookmarkEnd w:id="110"/>
      <w:r>
        <w:rPr>
          <w:rFonts w:asciiTheme="minorEastAsia" w:eastAsiaTheme="minorEastAsia" w:hAnsiTheme="minorEastAsia" w:cstheme="minorEastAsia" w:hint="eastAsia"/>
          <w:szCs w:val="21"/>
        </w:rPr>
        <w:t>。</w:t>
      </w:r>
    </w:p>
    <w:p w:rsidR="00A93A20" w:rsidRDefault="0091399B">
      <w:pPr>
        <w:spacing w:line="360" w:lineRule="auto"/>
        <w:rPr>
          <w:rFonts w:asciiTheme="minorEastAsia" w:eastAsiaTheme="minorEastAsia" w:hAnsiTheme="minorEastAsia" w:cstheme="minorEastAsia"/>
          <w:szCs w:val="21"/>
        </w:rPr>
      </w:pPr>
      <w:bookmarkStart w:id="111" w:name="_Toc3759_WPSOffice_Level1"/>
      <w:bookmarkStart w:id="112" w:name="_Toc18020_WPSOffice_Level1"/>
      <w:r>
        <w:rPr>
          <w:rFonts w:asciiTheme="minorEastAsia" w:eastAsiaTheme="minorEastAsia" w:hAnsiTheme="minorEastAsia" w:cstheme="minorEastAsia" w:hint="eastAsia"/>
          <w:szCs w:val="21"/>
        </w:rPr>
        <w:t xml:space="preserve">10.1.2 </w:t>
      </w:r>
      <w:bookmarkStart w:id="113" w:name="_Toc22383_WPSOffice_Level1"/>
      <w:bookmarkStart w:id="114" w:name="_Toc28260_WPSOffice_Level1"/>
      <w:bookmarkEnd w:id="111"/>
      <w:bookmarkEnd w:id="112"/>
      <w:r>
        <w:rPr>
          <w:rFonts w:asciiTheme="minorEastAsia" w:eastAsiaTheme="minorEastAsia" w:hAnsiTheme="minorEastAsia" w:cstheme="minorEastAsia" w:hint="eastAsia"/>
          <w:szCs w:val="21"/>
        </w:rPr>
        <w:t xml:space="preserve">喷淋方法2通常用于汽车涂层的自然暴露试验,晚上喷淋动作用于模拟湿热地区的凝露现象。10.1.3 </w:t>
      </w:r>
      <w:bookmarkEnd w:id="113"/>
      <w:bookmarkEnd w:id="114"/>
      <w:r>
        <w:rPr>
          <w:rFonts w:asciiTheme="minorEastAsia" w:eastAsiaTheme="minorEastAsia" w:hAnsiTheme="minorEastAsia" w:cstheme="minorEastAsia" w:hint="eastAsia"/>
          <w:szCs w:val="21"/>
        </w:rPr>
        <w:t>喷淋方法3用于模拟干热沙漠气候的自然暴露试验。</w:t>
      </w:r>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10.1.4 喷淋方法4用于GB/T 16422.1</w:t>
      </w:r>
      <w:r>
        <w:rPr>
          <w:rFonts w:ascii="宋体" w:hAnsi="宋体" w:cs="宋体" w:hint="eastAsia"/>
          <w:szCs w:val="21"/>
        </w:rPr>
        <w:t>～</w:t>
      </w:r>
      <w:r>
        <w:rPr>
          <w:rFonts w:asciiTheme="minorEastAsia" w:eastAsiaTheme="minorEastAsia" w:hAnsiTheme="minorEastAsia" w:cstheme="minorEastAsia" w:hint="eastAsia"/>
          <w:szCs w:val="21"/>
        </w:rPr>
        <w:t>16422.4中描述的人工老化装置。</w:t>
      </w:r>
    </w:p>
    <w:p w:rsidR="00A93A20" w:rsidRDefault="0091399B">
      <w:pPr>
        <w:spacing w:line="360" w:lineRule="auto"/>
        <w:jc w:val="center"/>
        <w:rPr>
          <w:rFonts w:asciiTheme="minorEastAsia" w:eastAsiaTheme="minorEastAsia" w:hAnsiTheme="minorEastAsia" w:cstheme="minorEastAsia"/>
          <w:szCs w:val="21"/>
        </w:rPr>
      </w:pPr>
      <w:bookmarkStart w:id="115" w:name="_Toc15471_WPSOffice_Level2"/>
      <w:bookmarkStart w:id="116" w:name="_Toc2108_WPSOffice_Level2"/>
      <w:r>
        <w:rPr>
          <w:rFonts w:asciiTheme="minorEastAsia" w:eastAsiaTheme="minorEastAsia" w:hAnsiTheme="minorEastAsia" w:cstheme="minorEastAsia" w:hint="eastAsia"/>
          <w:szCs w:val="21"/>
        </w:rPr>
        <w:lastRenderedPageBreak/>
        <w:t>表1 建议的喷淋</w:t>
      </w:r>
      <w:bookmarkEnd w:id="115"/>
      <w:bookmarkEnd w:id="116"/>
      <w:r>
        <w:rPr>
          <w:rFonts w:asciiTheme="minorEastAsia" w:eastAsiaTheme="minorEastAsia" w:hAnsiTheme="minorEastAsia" w:cstheme="minorEastAsia" w:hint="eastAsia"/>
          <w:szCs w:val="21"/>
        </w:rPr>
        <w:t>方法</w:t>
      </w:r>
    </w:p>
    <w:tbl>
      <w:tblPr>
        <w:tblW w:w="87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885"/>
        <w:gridCol w:w="885"/>
        <w:gridCol w:w="1050"/>
        <w:gridCol w:w="1005"/>
        <w:gridCol w:w="975"/>
        <w:gridCol w:w="3195"/>
      </w:tblGrid>
      <w:tr w:rsidR="00A93A20">
        <w:trPr>
          <w:jc w:val="center"/>
        </w:trPr>
        <w:tc>
          <w:tcPr>
            <w:tcW w:w="721" w:type="dxa"/>
            <w:vMerge w:val="restart"/>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方法</w:t>
            </w:r>
          </w:p>
        </w:tc>
        <w:tc>
          <w:tcPr>
            <w:tcW w:w="2820" w:type="dxa"/>
            <w:gridSpan w:val="3"/>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白天</w:t>
            </w:r>
          </w:p>
        </w:tc>
        <w:tc>
          <w:tcPr>
            <w:tcW w:w="5175" w:type="dxa"/>
            <w:gridSpan w:val="3"/>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夜晚</w:t>
            </w:r>
          </w:p>
        </w:tc>
      </w:tr>
      <w:tr w:rsidR="00A93A20">
        <w:trPr>
          <w:jc w:val="center"/>
        </w:trPr>
        <w:tc>
          <w:tcPr>
            <w:tcW w:w="721" w:type="dxa"/>
            <w:vMerge/>
            <w:vAlign w:val="center"/>
          </w:tcPr>
          <w:p w:rsidR="00A93A20" w:rsidRDefault="00A93A20">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p>
        </w:tc>
        <w:tc>
          <w:tcPr>
            <w:tcW w:w="88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喷水</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时间</w:t>
            </w:r>
          </w:p>
        </w:tc>
        <w:tc>
          <w:tcPr>
            <w:tcW w:w="88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干燥</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时间</w:t>
            </w:r>
          </w:p>
        </w:tc>
        <w:tc>
          <w:tcPr>
            <w:tcW w:w="1050"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每小时</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循环数</w:t>
            </w:r>
          </w:p>
        </w:tc>
        <w:tc>
          <w:tcPr>
            <w:tcW w:w="100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喷水</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时间</w:t>
            </w:r>
          </w:p>
        </w:tc>
        <w:tc>
          <w:tcPr>
            <w:tcW w:w="97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干燥</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时间</w:t>
            </w:r>
          </w:p>
        </w:tc>
        <w:tc>
          <w:tcPr>
            <w:tcW w:w="319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每小时循环数</w:t>
            </w:r>
          </w:p>
        </w:tc>
      </w:tr>
      <w:tr w:rsidR="00A93A20">
        <w:trPr>
          <w:jc w:val="center"/>
        </w:trPr>
        <w:tc>
          <w:tcPr>
            <w:tcW w:w="721"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88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8min</w:t>
            </w:r>
          </w:p>
        </w:tc>
        <w:tc>
          <w:tcPr>
            <w:tcW w:w="88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52min</w:t>
            </w:r>
          </w:p>
        </w:tc>
        <w:tc>
          <w:tcPr>
            <w:tcW w:w="1050"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00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8min</w:t>
            </w:r>
          </w:p>
        </w:tc>
        <w:tc>
          <w:tcPr>
            <w:tcW w:w="975" w:type="dxa"/>
            <w:vAlign w:val="center"/>
          </w:tcPr>
          <w:p w:rsidR="00A93A20" w:rsidRDefault="00A93A20">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p>
        </w:tc>
        <w:tc>
          <w:tcPr>
            <w:tcW w:w="319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在以下时间点在样品表面喷水：</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18:00</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24:00</w:t>
            </w:r>
          </w:p>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6:00</w:t>
            </w:r>
          </w:p>
        </w:tc>
      </w:tr>
      <w:tr w:rsidR="00A93A20">
        <w:trPr>
          <w:jc w:val="center"/>
        </w:trPr>
        <w:tc>
          <w:tcPr>
            <w:tcW w:w="721"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2820" w:type="dxa"/>
            <w:gridSpan w:val="3"/>
            <w:vAlign w:val="center"/>
          </w:tcPr>
          <w:p w:rsidR="00A93A20" w:rsidRDefault="0091399B">
            <w:pPr>
              <w:pStyle w:val="aff"/>
              <w:tabs>
                <w:tab w:val="center" w:pos="4201"/>
                <w:tab w:val="right" w:leader="dot" w:pos="9298"/>
              </w:tabs>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不喷水</w:t>
            </w:r>
          </w:p>
        </w:tc>
        <w:tc>
          <w:tcPr>
            <w:tcW w:w="1005" w:type="dxa"/>
            <w:vAlign w:val="center"/>
          </w:tcPr>
          <w:p w:rsidR="00A93A20" w:rsidRDefault="0091399B">
            <w:pPr>
              <w:pStyle w:val="aff"/>
              <w:tabs>
                <w:tab w:val="center" w:pos="4201"/>
                <w:tab w:val="right" w:leader="dot" w:pos="9298"/>
              </w:tabs>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3min</w:t>
            </w:r>
          </w:p>
        </w:tc>
        <w:tc>
          <w:tcPr>
            <w:tcW w:w="975" w:type="dxa"/>
            <w:vAlign w:val="center"/>
          </w:tcPr>
          <w:p w:rsidR="00A93A20" w:rsidRDefault="0091399B">
            <w:pPr>
              <w:pStyle w:val="aff"/>
              <w:tabs>
                <w:tab w:val="center" w:pos="4201"/>
                <w:tab w:val="right" w:leader="dot" w:pos="9298"/>
              </w:tabs>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12min</w:t>
            </w:r>
          </w:p>
        </w:tc>
        <w:tc>
          <w:tcPr>
            <w:tcW w:w="3195"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4次（18:00至6:00）</w:t>
            </w:r>
          </w:p>
        </w:tc>
      </w:tr>
      <w:tr w:rsidR="00A93A20">
        <w:trPr>
          <w:jc w:val="center"/>
        </w:trPr>
        <w:tc>
          <w:tcPr>
            <w:tcW w:w="721"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2820" w:type="dxa"/>
            <w:gridSpan w:val="3"/>
            <w:vAlign w:val="center"/>
          </w:tcPr>
          <w:p w:rsidR="00A93A20" w:rsidRDefault="0091399B">
            <w:pPr>
              <w:pStyle w:val="aff"/>
              <w:tabs>
                <w:tab w:val="center" w:pos="4201"/>
                <w:tab w:val="right" w:leader="dot" w:pos="9298"/>
              </w:tabs>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不喷水</w:t>
            </w:r>
          </w:p>
        </w:tc>
        <w:tc>
          <w:tcPr>
            <w:tcW w:w="5175" w:type="dxa"/>
            <w:gridSpan w:val="3"/>
            <w:vAlign w:val="center"/>
          </w:tcPr>
          <w:p w:rsidR="00A93A20" w:rsidRDefault="0091399B">
            <w:pPr>
              <w:pStyle w:val="aff"/>
              <w:tabs>
                <w:tab w:val="center" w:pos="4201"/>
                <w:tab w:val="right" w:leader="dot" w:pos="9298"/>
              </w:tabs>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不喷水</w:t>
            </w:r>
          </w:p>
        </w:tc>
      </w:tr>
      <w:tr w:rsidR="00A93A20">
        <w:trPr>
          <w:jc w:val="center"/>
        </w:trPr>
        <w:tc>
          <w:tcPr>
            <w:tcW w:w="721"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7995" w:type="dxa"/>
            <w:gridSpan w:val="6"/>
            <w:vAlign w:val="center"/>
          </w:tcPr>
          <w:p w:rsidR="00A93A20" w:rsidRDefault="0091399B">
            <w:pPr>
              <w:pStyle w:val="aff"/>
              <w:tabs>
                <w:tab w:val="center" w:pos="4201"/>
                <w:tab w:val="right" w:leader="dot" w:pos="9298"/>
              </w:tabs>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喷淋18min，干燥102min</w:t>
            </w:r>
          </w:p>
        </w:tc>
      </w:tr>
      <w:tr w:rsidR="00A93A20">
        <w:trPr>
          <w:jc w:val="center"/>
        </w:trPr>
        <w:tc>
          <w:tcPr>
            <w:tcW w:w="721" w:type="dxa"/>
            <w:vAlign w:val="center"/>
          </w:tcPr>
          <w:p w:rsidR="00A93A20" w:rsidRDefault="0091399B">
            <w:pPr>
              <w:pStyle w:val="aff"/>
              <w:tabs>
                <w:tab w:val="center" w:pos="4201"/>
                <w:tab w:val="right" w:leader="dot" w:pos="9298"/>
              </w:tabs>
              <w:ind w:firstLineChars="0" w:firstLine="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7995" w:type="dxa"/>
            <w:gridSpan w:val="6"/>
            <w:vAlign w:val="center"/>
          </w:tcPr>
          <w:p w:rsidR="00A93A20" w:rsidRDefault="0091399B">
            <w:pPr>
              <w:pStyle w:val="aff"/>
              <w:tabs>
                <w:tab w:val="center" w:pos="4201"/>
                <w:tab w:val="right" w:leader="dot" w:pos="9298"/>
              </w:tabs>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可以按用户要求使用其他喷淋方法</w:t>
            </w:r>
          </w:p>
        </w:tc>
      </w:tr>
    </w:tbl>
    <w:p w:rsidR="00A93A20" w:rsidRDefault="0091399B">
      <w:pPr>
        <w:spacing w:beforeLines="50" w:before="156"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 当直射太阳光被云层遮挡，以至于直射太阳辐射下降至600w/m</w:t>
      </w:r>
      <w:r>
        <w:rPr>
          <w:rFonts w:asciiTheme="minorEastAsia" w:eastAsiaTheme="minorEastAsia" w:hAnsiTheme="minorEastAsia" w:cstheme="minorEastAsia" w:hint="eastAsia"/>
          <w:szCs w:val="21"/>
          <w:vertAlign w:val="superscript"/>
        </w:rPr>
        <w:t>2</w:t>
      </w:r>
      <w:r>
        <w:rPr>
          <w:rFonts w:asciiTheme="minorEastAsia" w:eastAsiaTheme="minorEastAsia" w:hAnsiTheme="minorEastAsia" w:cstheme="minorEastAsia" w:hint="eastAsia"/>
          <w:szCs w:val="21"/>
        </w:rPr>
        <w:t>或更少时，系统转换为时控模式，继续跟踪太阳。</w:t>
      </w:r>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10.3 按照下面的公式确定试样的日照暴露量：</w:t>
      </w:r>
    </w:p>
    <w:p w:rsidR="00A93A20" w:rsidRDefault="0091399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position w:val="-28"/>
          <w:szCs w:val="21"/>
        </w:rPr>
        <w:object w:dxaOrig="1665" w:dyaOrig="675">
          <v:shape id="_x0000_i1026" type="#_x0000_t75" style="width:83.25pt;height:33.75pt" o:ole="">
            <v:imagedata r:id="rId18" o:title=""/>
          </v:shape>
          <o:OLEObject Type="Embed" ProgID="Equation.3" ShapeID="_x0000_i1026" DrawAspect="Content" ObjectID="_1634552197" r:id="rId19"/>
        </w:object>
      </w:r>
    </w:p>
    <w:p w:rsidR="00A93A20" w:rsidRDefault="0091399B">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position w:val="-28"/>
          <w:szCs w:val="21"/>
        </w:rPr>
        <w:object w:dxaOrig="1665" w:dyaOrig="675">
          <v:shape id="_x0000_i1027" type="#_x0000_t75" style="width:83.25pt;height:33.75pt" o:ole="">
            <v:imagedata r:id="rId20" o:title=""/>
          </v:shape>
          <o:OLEObject Type="Embed" ProgID="Equation.3" ShapeID="_x0000_i1027" DrawAspect="Content" ObjectID="_1634552198" r:id="rId21"/>
        </w:object>
      </w:r>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式中：</w:t>
      </w:r>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H</w:t>
      </w:r>
      <w:r>
        <w:rPr>
          <w:rFonts w:asciiTheme="minorEastAsia" w:eastAsiaTheme="minorEastAsia" w:hAnsiTheme="minorEastAsia" w:cstheme="minorEastAsia" w:hint="eastAsia"/>
          <w:szCs w:val="21"/>
          <w:vertAlign w:val="subscript"/>
        </w:rPr>
        <w:t>s</w:t>
      </w:r>
      <w:r>
        <w:rPr>
          <w:rFonts w:asciiTheme="minorEastAsia" w:eastAsiaTheme="minorEastAsia" w:hAnsiTheme="minorEastAsia" w:cstheme="minorEastAsia" w:hint="eastAsia"/>
          <w:szCs w:val="21"/>
        </w:rPr>
        <w:t xml:space="preserve"> — 样品接受到的太阳辐照量， J/m</w:t>
      </w:r>
      <w:r>
        <w:rPr>
          <w:rFonts w:asciiTheme="minorEastAsia" w:eastAsiaTheme="minorEastAsia" w:hAnsiTheme="minorEastAsia" w:cstheme="minorEastAsia" w:hint="eastAsia"/>
          <w:szCs w:val="21"/>
          <w:vertAlign w:val="superscript"/>
        </w:rPr>
        <w:t>2</w:t>
      </w:r>
      <w:r>
        <w:rPr>
          <w:rFonts w:asciiTheme="minorEastAsia" w:eastAsiaTheme="minorEastAsia" w:hAnsiTheme="minorEastAsia" w:cstheme="minorEastAsia" w:hint="eastAsia"/>
          <w:szCs w:val="21"/>
        </w:rPr>
        <w:t>；</w:t>
      </w:r>
    </w:p>
    <w:p w:rsidR="00A93A20" w:rsidRDefault="0091399B">
      <w:pPr>
        <w:spacing w:line="360" w:lineRule="auto"/>
        <w:rPr>
          <w:rFonts w:asciiTheme="minorEastAsia" w:eastAsiaTheme="minorEastAsia" w:hAnsiTheme="minorEastAsia" w:cstheme="minorEastAsia"/>
          <w:szCs w:val="21"/>
        </w:rPr>
      </w:pPr>
      <w:bookmarkStart w:id="117" w:name="_Toc5915_WPSOffice_Level1"/>
      <w:bookmarkStart w:id="118" w:name="_Toc13659_WPSOffice_Level1"/>
      <w:r>
        <w:rPr>
          <w:rFonts w:asciiTheme="minorEastAsia" w:eastAsiaTheme="minorEastAsia" w:hAnsiTheme="minorEastAsia" w:cstheme="minorEastAsia" w:hint="eastAsia"/>
          <w:szCs w:val="21"/>
        </w:rPr>
        <w:t>M — 平面镜数量；</w:t>
      </w:r>
      <w:bookmarkEnd w:id="117"/>
      <w:bookmarkEnd w:id="118"/>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kern w:val="10"/>
          <w:szCs w:val="21"/>
        </w:rPr>
        <w:t>ρ</w:t>
      </w:r>
      <w:r>
        <w:rPr>
          <w:rFonts w:asciiTheme="minorEastAsia" w:eastAsiaTheme="minorEastAsia" w:hAnsiTheme="minorEastAsia" w:cstheme="minorEastAsia" w:hint="eastAsia"/>
          <w:kern w:val="10"/>
          <w:szCs w:val="21"/>
          <w:vertAlign w:val="subscript"/>
        </w:rPr>
        <w:t xml:space="preserve">s </w:t>
      </w:r>
      <w:r>
        <w:rPr>
          <w:rFonts w:asciiTheme="minorEastAsia" w:eastAsiaTheme="minorEastAsia" w:hAnsiTheme="minorEastAsia" w:cstheme="minorEastAsia" w:hint="eastAsia"/>
          <w:szCs w:val="21"/>
        </w:rPr>
        <w:t>— 平面镜的太阳辐照量加权平均反射率；</w:t>
      </w:r>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kern w:val="10"/>
          <w:szCs w:val="21"/>
        </w:rPr>
        <w:t xml:space="preserve">ρ — </w:t>
      </w:r>
      <w:r>
        <w:rPr>
          <w:rFonts w:asciiTheme="minorEastAsia" w:eastAsiaTheme="minorEastAsia" w:hAnsiTheme="minorEastAsia" w:cstheme="minorEastAsia" w:hint="eastAsia"/>
          <w:szCs w:val="21"/>
        </w:rPr>
        <w:t>平面镜的反射率；</w:t>
      </w:r>
    </w:p>
    <w:p w:rsidR="00A93A20" w:rsidRDefault="0091399B">
      <w:pPr>
        <w:spacing w:line="360" w:lineRule="auto"/>
        <w:rPr>
          <w:rFonts w:asciiTheme="minorEastAsia" w:eastAsiaTheme="minorEastAsia" w:hAnsiTheme="minorEastAsia" w:cstheme="minorEastAsia"/>
          <w:szCs w:val="21"/>
        </w:rPr>
      </w:pPr>
      <w:bookmarkStart w:id="119" w:name="_Toc32601_WPSOffice_Level1"/>
      <w:bookmarkStart w:id="120" w:name="_Toc16864_WPSOffice_Level1"/>
      <w:r>
        <w:rPr>
          <w:rFonts w:asciiTheme="minorEastAsia" w:eastAsiaTheme="minorEastAsia" w:hAnsiTheme="minorEastAsia" w:cstheme="minorEastAsia" w:hint="eastAsia"/>
          <w:szCs w:val="21"/>
        </w:rPr>
        <w:t>N — 暴露试验天数；</w:t>
      </w:r>
      <w:bookmarkEnd w:id="119"/>
      <w:bookmarkEnd w:id="120"/>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θ</w:t>
      </w:r>
      <w:proofErr w:type="spellStart"/>
      <w:r>
        <w:rPr>
          <w:rFonts w:asciiTheme="minorEastAsia" w:eastAsiaTheme="minorEastAsia" w:hAnsiTheme="minorEastAsia" w:cstheme="minorEastAsia" w:hint="eastAsia"/>
          <w:szCs w:val="21"/>
          <w:vertAlign w:val="subscript"/>
        </w:rPr>
        <w:t>i</w:t>
      </w:r>
      <w:proofErr w:type="spellEnd"/>
      <w:r>
        <w:rPr>
          <w:rFonts w:asciiTheme="minorEastAsia" w:eastAsiaTheme="minorEastAsia" w:hAnsiTheme="minorEastAsia" w:cstheme="minorEastAsia" w:hint="eastAsia"/>
          <w:szCs w:val="21"/>
          <w:vertAlign w:val="subscript"/>
        </w:rPr>
        <w:t xml:space="preserve"> </w:t>
      </w:r>
      <w:r>
        <w:rPr>
          <w:rFonts w:asciiTheme="minorEastAsia" w:eastAsiaTheme="minorEastAsia" w:hAnsiTheme="minorEastAsia" w:cstheme="minorEastAsia" w:hint="eastAsia"/>
          <w:kern w:val="10"/>
          <w:szCs w:val="21"/>
        </w:rPr>
        <w:t xml:space="preserve">— </w:t>
      </w:r>
      <w:r>
        <w:rPr>
          <w:rFonts w:asciiTheme="minorEastAsia" w:eastAsiaTheme="minorEastAsia" w:hAnsiTheme="minorEastAsia" w:cstheme="minorEastAsia" w:hint="eastAsia"/>
          <w:szCs w:val="21"/>
        </w:rPr>
        <w:t>平面镜的太阳辐射入射角。</w:t>
      </w:r>
    </w:p>
    <w:p w:rsidR="00A93A20" w:rsidRDefault="0091399B">
      <w:pPr>
        <w:spacing w:line="360" w:lineRule="auto"/>
        <w:rPr>
          <w:rFonts w:asciiTheme="minorEastAsia" w:eastAsiaTheme="minorEastAsia" w:hAnsiTheme="minorEastAsia" w:cstheme="minorEastAsia"/>
          <w:szCs w:val="21"/>
        </w:rPr>
      </w:pPr>
      <w:proofErr w:type="spellStart"/>
      <w:r>
        <w:rPr>
          <w:rFonts w:asciiTheme="minorEastAsia" w:eastAsiaTheme="minorEastAsia" w:hAnsiTheme="minorEastAsia" w:cstheme="minorEastAsia" w:hint="eastAsia"/>
          <w:szCs w:val="21"/>
        </w:rPr>
        <w:t>H</w:t>
      </w:r>
      <w:r>
        <w:rPr>
          <w:rFonts w:asciiTheme="minorEastAsia" w:eastAsiaTheme="minorEastAsia" w:hAnsiTheme="minorEastAsia" w:cstheme="minorEastAsia" w:hint="eastAsia"/>
          <w:szCs w:val="21"/>
          <w:vertAlign w:val="subscript"/>
        </w:rPr>
        <w:t>di</w:t>
      </w:r>
      <w:proofErr w:type="spellEnd"/>
      <w:r>
        <w:rPr>
          <w:rFonts w:asciiTheme="minorEastAsia" w:eastAsiaTheme="minorEastAsia" w:hAnsiTheme="minorEastAsia" w:cstheme="minorEastAsia" w:hint="eastAsia"/>
          <w:szCs w:val="21"/>
          <w:vertAlign w:val="subscript"/>
        </w:rPr>
        <w:t xml:space="preserve">  </w:t>
      </w:r>
      <w:r>
        <w:rPr>
          <w:rFonts w:asciiTheme="minorEastAsia" w:eastAsiaTheme="minorEastAsia" w:hAnsiTheme="minorEastAsia" w:cstheme="minorEastAsia" w:hint="eastAsia"/>
          <w:kern w:val="10"/>
          <w:szCs w:val="21"/>
        </w:rPr>
        <w:t>— 6°视场测得的</w:t>
      </w:r>
      <w:r>
        <w:rPr>
          <w:rFonts w:asciiTheme="minorEastAsia" w:eastAsiaTheme="minorEastAsia" w:hAnsiTheme="minorEastAsia" w:cstheme="minorEastAsia" w:hint="eastAsia"/>
          <w:szCs w:val="21"/>
        </w:rPr>
        <w:t>太阳直射辐照量，J/m</w:t>
      </w:r>
      <w:r>
        <w:rPr>
          <w:rFonts w:asciiTheme="minorEastAsia" w:eastAsiaTheme="minorEastAsia" w:hAnsiTheme="minorEastAsia" w:cstheme="minorEastAsia" w:hint="eastAsia"/>
          <w:szCs w:val="21"/>
          <w:vertAlign w:val="superscript"/>
        </w:rPr>
        <w:t>2</w:t>
      </w:r>
      <w:r>
        <w:rPr>
          <w:rFonts w:asciiTheme="minorEastAsia" w:eastAsiaTheme="minorEastAsia" w:hAnsiTheme="minorEastAsia" w:cstheme="minorEastAsia" w:hint="eastAsia"/>
          <w:szCs w:val="21"/>
        </w:rPr>
        <w:t>；</w:t>
      </w:r>
    </w:p>
    <w:p w:rsidR="00A93A20" w:rsidRDefault="0091399B">
      <w:pPr>
        <w:spacing w:beforeLines="50" w:before="156"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10.4 用来测量直接总辐射量或紫外辐射量的仪表安装在设备的太阳跟踪系统上，正对太阳。辐射表应定期校准。</w:t>
      </w:r>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10.5 如果测量安装在设备上的反射镜不方便，可在设备上安装一个便于装卸的小块反射镜，以代表整个反射系统的镜面材料。</w:t>
      </w:r>
    </w:p>
    <w:p w:rsidR="00A93A20" w:rsidRDefault="0091399B">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10.6 监控和调节跟踪系统和镜反射系统，保证在白天的任何时刻目标区域的任何位置都能接收到可见</w:t>
      </w:r>
      <w:r>
        <w:rPr>
          <w:rFonts w:asciiTheme="minorEastAsia" w:eastAsiaTheme="minorEastAsia" w:hAnsiTheme="minorEastAsia" w:cstheme="minorEastAsia" w:hint="eastAsia"/>
          <w:szCs w:val="21"/>
        </w:rPr>
        <w:lastRenderedPageBreak/>
        <w:t>的光照。</w:t>
      </w:r>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10.7 达到以下条件时结束试验</w:t>
      </w:r>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21" w:name="_Toc5416_WPSOffice_Level1"/>
      <w:bookmarkStart w:id="122" w:name="_Toc24058_WPSOffice_Level1"/>
      <w:bookmarkStart w:id="123" w:name="_Toc25407_WPSOffice_Level1"/>
      <w:r>
        <w:rPr>
          <w:rFonts w:asciiTheme="minorEastAsia" w:eastAsiaTheme="minorEastAsia" w:hAnsiTheme="minorEastAsia" w:cstheme="minorEastAsia" w:hint="eastAsia"/>
          <w:szCs w:val="21"/>
        </w:rPr>
        <w:t>10.7.1 达到预定的紫外或太阳辐照量；</w:t>
      </w:r>
      <w:bookmarkEnd w:id="121"/>
      <w:bookmarkEnd w:id="122"/>
      <w:bookmarkEnd w:id="123"/>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24" w:name="_Toc26638_WPSOffice_Level1"/>
      <w:bookmarkStart w:id="125" w:name="_Toc21688_WPSOffice_Level1"/>
      <w:bookmarkStart w:id="126" w:name="_Toc14906_WPSOffice_Level1"/>
      <w:r>
        <w:rPr>
          <w:rFonts w:asciiTheme="minorEastAsia" w:eastAsiaTheme="minorEastAsia" w:hAnsiTheme="minorEastAsia" w:cstheme="minorEastAsia" w:hint="eastAsia"/>
          <w:szCs w:val="21"/>
        </w:rPr>
        <w:t>10.7.2 控制样品达到预定的变化百分比；</w:t>
      </w:r>
      <w:bookmarkEnd w:id="124"/>
      <w:bookmarkEnd w:id="125"/>
      <w:bookmarkEnd w:id="126"/>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27" w:name="_Toc15874_WPSOffice_Level1"/>
      <w:bookmarkStart w:id="128" w:name="_Toc17027_WPSOffice_Level1"/>
      <w:bookmarkStart w:id="129" w:name="_Toc22815_WPSOffice_Level1"/>
      <w:r>
        <w:rPr>
          <w:rFonts w:asciiTheme="minorEastAsia" w:eastAsiaTheme="minorEastAsia" w:hAnsiTheme="minorEastAsia" w:cstheme="minorEastAsia" w:hint="eastAsia"/>
          <w:szCs w:val="21"/>
        </w:rPr>
        <w:t>10.7.3 光泽、颜色等特征指标达到预定的性能下降。</w:t>
      </w:r>
      <w:bookmarkEnd w:id="127"/>
      <w:bookmarkEnd w:id="128"/>
      <w:bookmarkEnd w:id="129"/>
    </w:p>
    <w:p w:rsidR="00A93A20" w:rsidRDefault="0091399B">
      <w:pPr>
        <w:pStyle w:val="a"/>
        <w:numPr>
          <w:ilvl w:val="0"/>
          <w:numId w:val="0"/>
        </w:numPr>
        <w:spacing w:beforeLines="100" w:before="312" w:afterLines="100" w:after="312"/>
        <w:jc w:val="left"/>
        <w:rPr>
          <w:rFonts w:hAnsi="黑体" w:cs="黑体"/>
          <w:szCs w:val="21"/>
        </w:rPr>
      </w:pPr>
      <w:bookmarkStart w:id="130" w:name="_Toc20798"/>
      <w:bookmarkStart w:id="131" w:name="_Toc21280_WPSOffice_Level1"/>
      <w:bookmarkStart w:id="132" w:name="_Toc24680"/>
      <w:bookmarkStart w:id="133" w:name="_Toc19878_WPSOffice_Level1"/>
      <w:bookmarkStart w:id="134" w:name="_Toc31895"/>
      <w:bookmarkStart w:id="135" w:name="_Toc6849"/>
      <w:bookmarkStart w:id="136" w:name="_Toc31888"/>
      <w:r>
        <w:rPr>
          <w:rFonts w:hAnsi="黑体" w:cs="黑体" w:hint="eastAsia"/>
          <w:szCs w:val="21"/>
        </w:rPr>
        <w:t>11报告</w:t>
      </w:r>
      <w:bookmarkEnd w:id="130"/>
      <w:bookmarkEnd w:id="131"/>
      <w:bookmarkEnd w:id="132"/>
      <w:bookmarkEnd w:id="133"/>
      <w:bookmarkEnd w:id="134"/>
      <w:bookmarkEnd w:id="135"/>
      <w:bookmarkEnd w:id="136"/>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37" w:name="_Toc23156_WPSOffice_Level1"/>
      <w:bookmarkStart w:id="138" w:name="_Toc12772_WPSOffice_Level1"/>
      <w:bookmarkStart w:id="139" w:name="_Toc27193_WPSOffice_Level1"/>
      <w:r>
        <w:rPr>
          <w:rFonts w:asciiTheme="minorEastAsia" w:eastAsiaTheme="minorEastAsia" w:hAnsiTheme="minorEastAsia" w:cstheme="minorEastAsia" w:hint="eastAsia"/>
          <w:szCs w:val="21"/>
        </w:rPr>
        <w:t>11.1 报告以下信息</w:t>
      </w:r>
      <w:bookmarkEnd w:id="137"/>
      <w:bookmarkEnd w:id="138"/>
      <w:bookmarkEnd w:id="139"/>
      <w:r>
        <w:rPr>
          <w:rFonts w:asciiTheme="minorEastAsia" w:eastAsiaTheme="minorEastAsia" w:hAnsiTheme="minorEastAsia" w:cstheme="minorEastAsia" w:hint="eastAsia"/>
          <w:szCs w:val="21"/>
        </w:rPr>
        <w:t>、</w:t>
      </w:r>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11.1.1 暴露场所的位置和细节（例如经度、纬度、海拔高度等等）</w:t>
      </w:r>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40" w:name="_Toc27128_WPSOffice_Level2"/>
      <w:bookmarkStart w:id="141" w:name="_Toc10906_WPSOffice_Level2"/>
      <w:r>
        <w:rPr>
          <w:rFonts w:asciiTheme="minorEastAsia" w:eastAsiaTheme="minorEastAsia" w:hAnsiTheme="minorEastAsia" w:cstheme="minorEastAsia" w:hint="eastAsia"/>
          <w:szCs w:val="21"/>
        </w:rPr>
        <w:t>11.1.2 采用的喷淋周期和方向</w:t>
      </w:r>
      <w:bookmarkEnd w:id="140"/>
      <w:bookmarkEnd w:id="141"/>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42" w:name="_Toc31762_WPSOffice_Level2"/>
      <w:bookmarkStart w:id="143" w:name="_Toc29530_WPSOffice_Level2"/>
      <w:r>
        <w:rPr>
          <w:rFonts w:asciiTheme="minorEastAsia" w:eastAsiaTheme="minorEastAsia" w:hAnsiTheme="minorEastAsia" w:cstheme="minorEastAsia" w:hint="eastAsia"/>
          <w:szCs w:val="21"/>
        </w:rPr>
        <w:t>11.1.3 水质</w:t>
      </w:r>
      <w:bookmarkEnd w:id="142"/>
      <w:bookmarkEnd w:id="143"/>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44" w:name="_Toc10354_WPSOffice_Level2"/>
      <w:bookmarkStart w:id="145" w:name="_Toc22241_WPSOffice_Level2"/>
      <w:r>
        <w:rPr>
          <w:rFonts w:asciiTheme="minorEastAsia" w:eastAsiaTheme="minorEastAsia" w:hAnsiTheme="minorEastAsia" w:cstheme="minorEastAsia" w:hint="eastAsia"/>
          <w:szCs w:val="21"/>
        </w:rPr>
        <w:t>11.1.4 曝露所用的时间</w:t>
      </w:r>
      <w:bookmarkEnd w:id="144"/>
      <w:bookmarkEnd w:id="145"/>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46" w:name="_Toc30519_WPSOffice_Level2"/>
      <w:bookmarkStart w:id="147" w:name="_Toc12197_WPSOffice_Level2"/>
      <w:r>
        <w:rPr>
          <w:rFonts w:asciiTheme="minorEastAsia" w:eastAsiaTheme="minorEastAsia" w:hAnsiTheme="minorEastAsia" w:cstheme="minorEastAsia" w:hint="eastAsia"/>
          <w:szCs w:val="21"/>
        </w:rPr>
        <w:t>11.1.5 紫外辐照量（280-400nm，MJ/m²）</w:t>
      </w:r>
      <w:bookmarkEnd w:id="146"/>
      <w:bookmarkEnd w:id="147"/>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48" w:name="_Toc9532_WPSOffice_Level2"/>
      <w:bookmarkStart w:id="149" w:name="_Toc23401_WPSOffice_Level2"/>
      <w:r>
        <w:rPr>
          <w:rFonts w:asciiTheme="minorEastAsia" w:eastAsiaTheme="minorEastAsia" w:hAnsiTheme="minorEastAsia" w:cstheme="minorEastAsia" w:hint="eastAsia"/>
          <w:szCs w:val="21"/>
        </w:rPr>
        <w:t>11.1.6 太阳总辐射量（280-3000nm，MJ/m²）</w:t>
      </w:r>
      <w:bookmarkEnd w:id="148"/>
      <w:bookmarkEnd w:id="149"/>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50" w:name="_Toc6338_WPSOffice_Level2"/>
      <w:bookmarkStart w:id="151" w:name="_Toc26368_WPSOffice_Level2"/>
      <w:r>
        <w:rPr>
          <w:rFonts w:asciiTheme="minorEastAsia" w:eastAsiaTheme="minorEastAsia" w:hAnsiTheme="minorEastAsia" w:cstheme="minorEastAsia" w:hint="eastAsia"/>
          <w:szCs w:val="21"/>
        </w:rPr>
        <w:t>11.1.7 所有样品的准确编号</w:t>
      </w:r>
      <w:bookmarkEnd w:id="150"/>
      <w:bookmarkEnd w:id="151"/>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52" w:name="_Toc5004_WPSOffice_Level2"/>
      <w:bookmarkStart w:id="153" w:name="_Toc20634_WPSOffice_Level2"/>
      <w:r>
        <w:rPr>
          <w:rFonts w:asciiTheme="minorEastAsia" w:eastAsiaTheme="minorEastAsia" w:hAnsiTheme="minorEastAsia" w:cstheme="minorEastAsia" w:hint="eastAsia"/>
          <w:szCs w:val="21"/>
        </w:rPr>
        <w:t>11.1.8 安装条件（背板或无背板）</w:t>
      </w:r>
      <w:bookmarkEnd w:id="152"/>
      <w:bookmarkEnd w:id="153"/>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54" w:name="_Toc27661_WPSOffice_Level2"/>
      <w:bookmarkStart w:id="155" w:name="_Toc4190_WPSOffice_Level2"/>
      <w:r>
        <w:rPr>
          <w:rFonts w:asciiTheme="minorEastAsia" w:eastAsiaTheme="minorEastAsia" w:hAnsiTheme="minorEastAsia" w:cstheme="minorEastAsia" w:hint="eastAsia"/>
          <w:szCs w:val="21"/>
        </w:rPr>
        <w:t>11.1.9 任何会影响结果的异常现象，如温度极限值</w:t>
      </w:r>
      <w:bookmarkEnd w:id="154"/>
      <w:bookmarkEnd w:id="155"/>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56" w:name="_Toc27917_WPSOffice_Level2"/>
      <w:bookmarkStart w:id="157" w:name="_Toc13916_WPSOffice_Level2"/>
      <w:r>
        <w:rPr>
          <w:rFonts w:asciiTheme="minorEastAsia" w:eastAsiaTheme="minorEastAsia" w:hAnsiTheme="minorEastAsia" w:cstheme="minorEastAsia" w:hint="eastAsia"/>
          <w:szCs w:val="21"/>
        </w:rPr>
        <w:t>11.1.10 用于测试紫外辐射仪器的系列号和最后校准日期</w:t>
      </w:r>
      <w:bookmarkEnd w:id="156"/>
      <w:bookmarkEnd w:id="157"/>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58" w:name="_Toc7093_WPSOffice_Level1"/>
      <w:bookmarkStart w:id="159" w:name="_Toc759_WPSOffice_Level1"/>
      <w:bookmarkStart w:id="160" w:name="_Toc3486_WPSOffice_Level1"/>
      <w:r>
        <w:rPr>
          <w:rFonts w:asciiTheme="minorEastAsia" w:eastAsiaTheme="minorEastAsia" w:hAnsiTheme="minorEastAsia" w:cstheme="minorEastAsia" w:hint="eastAsia"/>
          <w:szCs w:val="21"/>
        </w:rPr>
        <w:t>11.2 可选择性报告以下信息</w:t>
      </w:r>
      <w:bookmarkEnd w:id="158"/>
      <w:bookmarkEnd w:id="159"/>
      <w:bookmarkEnd w:id="160"/>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61" w:name="_Toc18229_WPSOffice_Level2"/>
      <w:bookmarkStart w:id="162" w:name="_Toc22036_WPSOffice_Level2"/>
      <w:r>
        <w:rPr>
          <w:rFonts w:asciiTheme="minorEastAsia" w:eastAsiaTheme="minorEastAsia" w:hAnsiTheme="minorEastAsia" w:cstheme="minorEastAsia" w:hint="eastAsia"/>
          <w:szCs w:val="21"/>
        </w:rPr>
        <w:t>11.2.1 每天累积的总辐射量</w:t>
      </w:r>
      <w:bookmarkEnd w:id="161"/>
      <w:bookmarkEnd w:id="162"/>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63" w:name="_Toc30977_WPSOffice_Level2"/>
      <w:bookmarkStart w:id="164" w:name="_Toc5086_WPSOffice_Level2"/>
      <w:r>
        <w:rPr>
          <w:rFonts w:asciiTheme="minorEastAsia" w:eastAsiaTheme="minorEastAsia" w:hAnsiTheme="minorEastAsia" w:cstheme="minorEastAsia" w:hint="eastAsia"/>
          <w:szCs w:val="21"/>
        </w:rPr>
        <w:t>11.2.2 环境温度（每日最高，最低和平均温度）</w:t>
      </w:r>
      <w:bookmarkEnd w:id="163"/>
      <w:bookmarkEnd w:id="164"/>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65" w:name="_Toc20301_WPSOffice_Level2"/>
      <w:bookmarkStart w:id="166" w:name="_Toc30379_WPSOffice_Level2"/>
      <w:r>
        <w:rPr>
          <w:rFonts w:asciiTheme="minorEastAsia" w:eastAsiaTheme="minorEastAsia" w:hAnsiTheme="minorEastAsia" w:cstheme="minorEastAsia" w:hint="eastAsia"/>
          <w:szCs w:val="21"/>
        </w:rPr>
        <w:t>11.2.3 湿度（每日最高，最低和平均湿度）</w:t>
      </w:r>
      <w:bookmarkEnd w:id="165"/>
      <w:bookmarkEnd w:id="166"/>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67" w:name="_Toc29873_WPSOffice_Level2"/>
      <w:bookmarkStart w:id="168" w:name="_Toc12296_WPSOffice_Level2"/>
      <w:r>
        <w:rPr>
          <w:rFonts w:asciiTheme="minorEastAsia" w:eastAsiaTheme="minorEastAsia" w:hAnsiTheme="minorEastAsia" w:cstheme="minorEastAsia" w:hint="eastAsia"/>
          <w:szCs w:val="21"/>
        </w:rPr>
        <w:t>11.2.4 依据太阳辐射和镜面反射</w:t>
      </w:r>
      <w:proofErr w:type="gramStart"/>
      <w:r>
        <w:rPr>
          <w:rFonts w:asciiTheme="minorEastAsia" w:eastAsiaTheme="minorEastAsia" w:hAnsiTheme="minorEastAsia" w:cstheme="minorEastAsia" w:hint="eastAsia"/>
          <w:szCs w:val="21"/>
        </w:rPr>
        <w:t>率数据</w:t>
      </w:r>
      <w:proofErr w:type="gramEnd"/>
      <w:r>
        <w:rPr>
          <w:rFonts w:asciiTheme="minorEastAsia" w:eastAsiaTheme="minorEastAsia" w:hAnsiTheme="minorEastAsia" w:cstheme="minorEastAsia" w:hint="eastAsia"/>
          <w:szCs w:val="21"/>
        </w:rPr>
        <w:t>或依据目标板上的测定来选择波长记录紫外</w:t>
      </w:r>
      <w:bookmarkEnd w:id="167"/>
      <w:bookmarkEnd w:id="168"/>
    </w:p>
    <w:p w:rsidR="00A93A20" w:rsidRDefault="0091399B">
      <w:pPr>
        <w:pStyle w:val="aff"/>
        <w:tabs>
          <w:tab w:val="center" w:pos="4201"/>
          <w:tab w:val="right" w:leader="dot" w:pos="9298"/>
        </w:tabs>
        <w:spacing w:line="360" w:lineRule="auto"/>
        <w:ind w:firstLineChars="0" w:firstLine="0"/>
        <w:rPr>
          <w:rFonts w:asciiTheme="minorEastAsia" w:eastAsiaTheme="minorEastAsia" w:hAnsiTheme="minorEastAsia" w:cstheme="minorEastAsia"/>
          <w:szCs w:val="21"/>
        </w:rPr>
      </w:pPr>
      <w:bookmarkStart w:id="169" w:name="_Toc17664_WPSOffice_Level2"/>
      <w:bookmarkStart w:id="170" w:name="_Toc16499_WPSOffice_Level2"/>
      <w:r>
        <w:rPr>
          <w:rFonts w:asciiTheme="minorEastAsia" w:eastAsiaTheme="minorEastAsia" w:hAnsiTheme="minorEastAsia" w:cstheme="minorEastAsia" w:hint="eastAsia"/>
          <w:szCs w:val="21"/>
        </w:rPr>
        <w:t>11.2.5 检验和测试报告</w:t>
      </w:r>
      <w:bookmarkEnd w:id="169"/>
      <w:bookmarkEnd w:id="170"/>
    </w:p>
    <w:p w:rsidR="00A93A20" w:rsidRDefault="00A93A20">
      <w:pPr>
        <w:pStyle w:val="a"/>
        <w:numPr>
          <w:ilvl w:val="0"/>
          <w:numId w:val="0"/>
        </w:numPr>
        <w:spacing w:beforeLines="100" w:before="312" w:afterLines="100" w:after="312"/>
      </w:pPr>
    </w:p>
    <w:bookmarkEnd w:id="17"/>
    <w:bookmarkEnd w:id="18"/>
    <w:bookmarkEnd w:id="19"/>
    <w:bookmarkEnd w:id="20"/>
    <w:bookmarkEnd w:id="21"/>
    <w:bookmarkEnd w:id="22"/>
    <w:bookmarkEnd w:id="23"/>
    <w:bookmarkEnd w:id="24"/>
    <w:bookmarkEnd w:id="92"/>
    <w:bookmarkEnd w:id="93"/>
    <w:bookmarkEnd w:id="94"/>
    <w:bookmarkEnd w:id="95"/>
    <w:bookmarkEnd w:id="96"/>
    <w:bookmarkEnd w:id="97"/>
    <w:p w:rsidR="00A93A20" w:rsidRDefault="00A93A20">
      <w:pPr>
        <w:pStyle w:val="aff"/>
        <w:ind w:firstLine="420"/>
      </w:pPr>
    </w:p>
    <w:sectPr w:rsidR="00A93A20">
      <w:headerReference w:type="default" r:id="rId22"/>
      <w:footerReference w:type="default" r:id="rId23"/>
      <w:pgSz w:w="11906" w:h="16838"/>
      <w:pgMar w:top="1843" w:right="1304" w:bottom="1134" w:left="1304" w:header="1418" w:footer="86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6CD" w:rsidRDefault="000766CD">
      <w:r>
        <w:separator/>
      </w:r>
    </w:p>
  </w:endnote>
  <w:endnote w:type="continuationSeparator" w:id="0">
    <w:p w:rsidR="000766CD" w:rsidRDefault="0007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方正书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GNGHD+FZXBSK--GBK1-0">
    <w:altName w:val="微软雅黑"/>
    <w:charset w:val="86"/>
    <w:family w:val="modern"/>
    <w:pitch w:val="default"/>
    <w:sig w:usb0="00000000" w:usb1="00000000" w:usb2="00000000" w:usb3="00000000" w:csb0="00040000" w:csb1="00000000"/>
  </w:font>
  <w:font w:name="Adobe 宋体 Std L">
    <w:altName w:val="宋体"/>
    <w:charset w:val="86"/>
    <w:family w:val="roman"/>
    <w:pitch w:val="default"/>
    <w:sig w:usb0="00000000" w:usb1="0000000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兰亭细黑_GBK">
    <w:altName w:val="微软雅黑"/>
    <w:charset w:val="86"/>
    <w:family w:val="auto"/>
    <w:pitch w:val="variable"/>
    <w:sig w:usb0="00000000" w:usb1="080E0000" w:usb2="00000010" w:usb3="00000000" w:csb0="00040000" w:csb1="00000000"/>
  </w:font>
  <w:font w:name="QHKUII+FZLTXIHK--GBK1-0">
    <w:altName w:val="Arial Unicode MS"/>
    <w:charset w:val="01"/>
    <w:family w:val="auto"/>
    <w:pitch w:val="variable"/>
    <w:sig w:usb0="00000000" w:usb1="01010101"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20" w:rsidRDefault="0091399B">
    <w:pPr>
      <w:pStyle w:val="af"/>
    </w:pPr>
    <w:r>
      <w:rPr>
        <w:rFonts w:hint="eastAsia"/>
      </w:rP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19670"/>
    </w:sdtPr>
    <w:sdtEndPr/>
    <w:sdtContent>
      <w:p w:rsidR="00A93A20" w:rsidRDefault="0091399B">
        <w:pPr>
          <w:pStyle w:val="af"/>
          <w:jc w:val="right"/>
        </w:pPr>
        <w:r>
          <w:fldChar w:fldCharType="begin"/>
        </w:r>
        <w:r>
          <w:instrText xml:space="preserve"> PAGE   \* MERGEFORMAT </w:instrText>
        </w:r>
        <w:r>
          <w:fldChar w:fldCharType="separate"/>
        </w:r>
        <w:r w:rsidR="00824502">
          <w:rPr>
            <w:noProof/>
          </w:rPr>
          <w:t>I</w:t>
        </w:r>
        <w:r>
          <w:rPr>
            <w:lang w:val="zh-CN"/>
          </w:rPr>
          <w:fldChar w:fldCharType="end"/>
        </w:r>
      </w:p>
    </w:sdtContent>
  </w:sdt>
  <w:p w:rsidR="00A93A20" w:rsidRDefault="00A93A2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20" w:rsidRDefault="0091399B">
    <w:r>
      <w:rPr>
        <w:noProof/>
        <w:sz w:val="20"/>
      </w:rPr>
      <mc:AlternateContent>
        <mc:Choice Requires="wps">
          <w:drawing>
            <wp:anchor distT="0" distB="0" distL="114300" distR="114300" simplePos="0" relativeHeight="251658240" behindDoc="0" locked="0" layoutInCell="1" allowOverlap="1">
              <wp:simplePos x="0" y="0"/>
              <wp:positionH relativeFrom="column">
                <wp:posOffset>5581015</wp:posOffset>
              </wp:positionH>
              <wp:positionV relativeFrom="paragraph">
                <wp:posOffset>-161925</wp:posOffset>
              </wp:positionV>
              <wp:extent cx="360045" cy="179705"/>
              <wp:effectExtent l="0" t="0" r="1905" b="1079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wps:spPr>
                    <wps:txbx>
                      <w:txbxContent>
                        <w:p w:rsidR="00A93A20" w:rsidRDefault="0091399B">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656C9B">
                            <w:rPr>
                              <w:rFonts w:ascii="宋体"/>
                              <w:noProof/>
                              <w:sz w:val="18"/>
                            </w:rPr>
                            <w:t>6</w:t>
                          </w:r>
                          <w:r>
                            <w:rPr>
                              <w:rFonts w:ascii="宋体"/>
                              <w:sz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439.45pt;margin-top:-12.75pt;width:28.3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" filled="f" stroked="f">
              <v:textbox inset="0,0,0,0">
                <w:txbxContent>
                  <w:p w:rsidR="00A93A20" w:rsidRDefault="0091399B">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656C9B">
                      <w:rPr>
                        <w:rFonts w:ascii="宋体"/>
                        <w:noProof/>
                        <w:sz w:val="18"/>
                      </w:rPr>
                      <w:t>6</w:t>
                    </w:r>
                    <w:r>
                      <w:rPr>
                        <w:rFonts w:ascii="宋体"/>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6CD" w:rsidRDefault="000766CD">
      <w:r>
        <w:separator/>
      </w:r>
    </w:p>
  </w:footnote>
  <w:footnote w:type="continuationSeparator" w:id="0">
    <w:p w:rsidR="000766CD" w:rsidRDefault="0007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20" w:rsidRDefault="00A93A20">
    <w:pPr>
      <w:pStyle w:val="af1"/>
      <w:pBdr>
        <w:top w:val="none" w:sz="0" w:space="1" w:color="auto"/>
        <w:left w:val="none" w:sz="0" w:space="4" w:color="auto"/>
        <w:bottom w:val="none" w:sz="0" w:space="1" w:color="auto"/>
        <w:right w:val="none" w:sz="0" w:space="4"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20" w:rsidRDefault="00A93A20">
    <w:pPr>
      <w:pStyle w:val="af1"/>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20" w:rsidRDefault="0091399B">
    <w:pPr>
      <w:pStyle w:val="af1"/>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A20" w:rsidRDefault="0091399B">
    <w:pPr>
      <w:pStyle w:val="af1"/>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 xml:space="preserve">E </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hint="eastAsia"/>
        <w:spacing w:val="10"/>
        <w:sz w:val="21"/>
        <w:szCs w:val="21"/>
      </w:rPr>
      <w:t>XXXX</w:t>
    </w:r>
  </w:p>
  <w:p w:rsidR="00A93A20" w:rsidRDefault="00A93A20">
    <w:pPr>
      <w:pStyle w:val="af1"/>
      <w:pBdr>
        <w:bottom w:val="none" w:sz="0" w:space="0" w:color="auto"/>
      </w:pBdr>
      <w:wordWrap w:val="0"/>
      <w:jc w:val="right"/>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A93A20">
      <w:trPr>
        <w:trHeight w:hRule="exact" w:val="360"/>
      </w:trPr>
      <w:tc>
        <w:tcPr>
          <w:tcW w:w="9355" w:type="dxa"/>
          <w:vAlign w:val="center"/>
        </w:tcPr>
        <w:p w:rsidR="00A93A20" w:rsidRDefault="0091399B">
          <w:pPr>
            <w:pStyle w:val="af1"/>
            <w:pBdr>
              <w:bottom w:val="none" w:sz="0" w:space="0" w:color="auto"/>
            </w:pBdr>
            <w:jc w:val="right"/>
            <w:rPr>
              <w:rFonts w:ascii="黑体" w:eastAsia="黑体" w:hAnsi="黑体"/>
              <w:spacing w:val="10"/>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 xml:space="preserve">E </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hint="eastAsia"/>
              <w:spacing w:val="10"/>
              <w:sz w:val="21"/>
              <w:szCs w:val="21"/>
            </w:rPr>
            <w:t>XXXX</w:t>
          </w:r>
        </w:p>
        <w:p w:rsidR="00A93A20" w:rsidRDefault="00A93A20">
          <w:pPr>
            <w:pStyle w:val="af1"/>
            <w:pBdr>
              <w:bottom w:val="none" w:sz="0" w:space="0" w:color="auto"/>
            </w:pBdr>
            <w:jc w:val="right"/>
            <w:rPr>
              <w:rFonts w:ascii="黑体" w:eastAsia="黑体" w:hAnsi="黑体"/>
              <w:sz w:val="21"/>
              <w:szCs w:val="21"/>
            </w:rPr>
          </w:pPr>
        </w:p>
        <w:p w:rsidR="00A93A20" w:rsidRDefault="00A93A20">
          <w:pPr>
            <w:jc w:val="right"/>
            <w:rPr>
              <w:rFonts w:ascii="黑体" w:eastAsia="黑体" w:hAnsi="黑体"/>
            </w:rPr>
          </w:pPr>
        </w:p>
      </w:tc>
    </w:tr>
  </w:tbl>
  <w:p w:rsidR="00A93A20" w:rsidRDefault="00A93A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8308A"/>
    <w:multiLevelType w:val="multilevel"/>
    <w:tmpl w:val="4138308A"/>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40A"/>
    <w:rsid w:val="0000293B"/>
    <w:rsid w:val="000050EC"/>
    <w:rsid w:val="00006362"/>
    <w:rsid w:val="0002730B"/>
    <w:rsid w:val="00031B6A"/>
    <w:rsid w:val="0004077F"/>
    <w:rsid w:val="00046023"/>
    <w:rsid w:val="00055041"/>
    <w:rsid w:val="00057106"/>
    <w:rsid w:val="00061659"/>
    <w:rsid w:val="0006185B"/>
    <w:rsid w:val="0007261B"/>
    <w:rsid w:val="0007419F"/>
    <w:rsid w:val="000766CD"/>
    <w:rsid w:val="00077A69"/>
    <w:rsid w:val="0008009C"/>
    <w:rsid w:val="00083291"/>
    <w:rsid w:val="0008493E"/>
    <w:rsid w:val="00084B02"/>
    <w:rsid w:val="000856B0"/>
    <w:rsid w:val="00093F08"/>
    <w:rsid w:val="000A1E00"/>
    <w:rsid w:val="000A256D"/>
    <w:rsid w:val="000A5297"/>
    <w:rsid w:val="000A6EF0"/>
    <w:rsid w:val="000B3E43"/>
    <w:rsid w:val="000B4086"/>
    <w:rsid w:val="000B4B4E"/>
    <w:rsid w:val="000B4EA9"/>
    <w:rsid w:val="000B51D8"/>
    <w:rsid w:val="000B6C7A"/>
    <w:rsid w:val="000B745F"/>
    <w:rsid w:val="000C2FEC"/>
    <w:rsid w:val="000C457B"/>
    <w:rsid w:val="000C758D"/>
    <w:rsid w:val="000D53D9"/>
    <w:rsid w:val="000D7B4E"/>
    <w:rsid w:val="000E616F"/>
    <w:rsid w:val="000F2857"/>
    <w:rsid w:val="000F4C00"/>
    <w:rsid w:val="000F6A42"/>
    <w:rsid w:val="000F6A6A"/>
    <w:rsid w:val="00117A05"/>
    <w:rsid w:val="00117A1A"/>
    <w:rsid w:val="00117FA9"/>
    <w:rsid w:val="001206AE"/>
    <w:rsid w:val="00133908"/>
    <w:rsid w:val="00135EFD"/>
    <w:rsid w:val="001378A4"/>
    <w:rsid w:val="00141AA2"/>
    <w:rsid w:val="00147DFA"/>
    <w:rsid w:val="00155DEC"/>
    <w:rsid w:val="00156A56"/>
    <w:rsid w:val="00157F99"/>
    <w:rsid w:val="001616DF"/>
    <w:rsid w:val="00161780"/>
    <w:rsid w:val="00161DFC"/>
    <w:rsid w:val="0016475A"/>
    <w:rsid w:val="00165735"/>
    <w:rsid w:val="00166B69"/>
    <w:rsid w:val="00166E1A"/>
    <w:rsid w:val="00167481"/>
    <w:rsid w:val="001706B2"/>
    <w:rsid w:val="00183633"/>
    <w:rsid w:val="00183AD6"/>
    <w:rsid w:val="00183B12"/>
    <w:rsid w:val="00184AF9"/>
    <w:rsid w:val="00196665"/>
    <w:rsid w:val="001A6ADF"/>
    <w:rsid w:val="001B2156"/>
    <w:rsid w:val="001B3019"/>
    <w:rsid w:val="001B3AB5"/>
    <w:rsid w:val="001B6B91"/>
    <w:rsid w:val="001C6082"/>
    <w:rsid w:val="001D67D2"/>
    <w:rsid w:val="001E36D1"/>
    <w:rsid w:val="001F0B49"/>
    <w:rsid w:val="001F49F2"/>
    <w:rsid w:val="00207DDD"/>
    <w:rsid w:val="00216CC8"/>
    <w:rsid w:val="00222AF8"/>
    <w:rsid w:val="00224F4D"/>
    <w:rsid w:val="00230D51"/>
    <w:rsid w:val="002351FE"/>
    <w:rsid w:val="00241187"/>
    <w:rsid w:val="00245621"/>
    <w:rsid w:val="0024741B"/>
    <w:rsid w:val="002507C0"/>
    <w:rsid w:val="00250975"/>
    <w:rsid w:val="00250B60"/>
    <w:rsid w:val="00255D71"/>
    <w:rsid w:val="00257449"/>
    <w:rsid w:val="002646A1"/>
    <w:rsid w:val="00271747"/>
    <w:rsid w:val="00287FB7"/>
    <w:rsid w:val="00292A3B"/>
    <w:rsid w:val="002A448B"/>
    <w:rsid w:val="002B43BD"/>
    <w:rsid w:val="002C27E7"/>
    <w:rsid w:val="002C6568"/>
    <w:rsid w:val="002D0297"/>
    <w:rsid w:val="002D0B2A"/>
    <w:rsid w:val="002D0E44"/>
    <w:rsid w:val="002D233A"/>
    <w:rsid w:val="002D4FB9"/>
    <w:rsid w:val="002E12C1"/>
    <w:rsid w:val="002E4511"/>
    <w:rsid w:val="002E47E8"/>
    <w:rsid w:val="002E6203"/>
    <w:rsid w:val="002F094D"/>
    <w:rsid w:val="00300674"/>
    <w:rsid w:val="00301E41"/>
    <w:rsid w:val="00301EE2"/>
    <w:rsid w:val="003022EA"/>
    <w:rsid w:val="00305B4D"/>
    <w:rsid w:val="00306FB4"/>
    <w:rsid w:val="00310285"/>
    <w:rsid w:val="00332B40"/>
    <w:rsid w:val="00332CB5"/>
    <w:rsid w:val="00337BBC"/>
    <w:rsid w:val="00342704"/>
    <w:rsid w:val="003447DE"/>
    <w:rsid w:val="00347949"/>
    <w:rsid w:val="00350877"/>
    <w:rsid w:val="0037092B"/>
    <w:rsid w:val="00372826"/>
    <w:rsid w:val="00374675"/>
    <w:rsid w:val="003751D3"/>
    <w:rsid w:val="00380120"/>
    <w:rsid w:val="003803A5"/>
    <w:rsid w:val="00381EDA"/>
    <w:rsid w:val="00382912"/>
    <w:rsid w:val="00386D9A"/>
    <w:rsid w:val="00391205"/>
    <w:rsid w:val="003918C4"/>
    <w:rsid w:val="003920E3"/>
    <w:rsid w:val="00393510"/>
    <w:rsid w:val="003A2546"/>
    <w:rsid w:val="003A3C6F"/>
    <w:rsid w:val="003A3F09"/>
    <w:rsid w:val="003A5A58"/>
    <w:rsid w:val="003A7150"/>
    <w:rsid w:val="003B19D4"/>
    <w:rsid w:val="003B4153"/>
    <w:rsid w:val="003B4CB0"/>
    <w:rsid w:val="003B7E67"/>
    <w:rsid w:val="003C7C9E"/>
    <w:rsid w:val="003D0F96"/>
    <w:rsid w:val="003D2F18"/>
    <w:rsid w:val="003D4DE8"/>
    <w:rsid w:val="003E2317"/>
    <w:rsid w:val="003F1851"/>
    <w:rsid w:val="003F2E5B"/>
    <w:rsid w:val="003F4BA8"/>
    <w:rsid w:val="003F7DE9"/>
    <w:rsid w:val="00401F18"/>
    <w:rsid w:val="00403A9C"/>
    <w:rsid w:val="00424EDB"/>
    <w:rsid w:val="00426EE8"/>
    <w:rsid w:val="004401D3"/>
    <w:rsid w:val="004409EF"/>
    <w:rsid w:val="00450948"/>
    <w:rsid w:val="00453A68"/>
    <w:rsid w:val="004579B3"/>
    <w:rsid w:val="00463E08"/>
    <w:rsid w:val="00467A5D"/>
    <w:rsid w:val="00472135"/>
    <w:rsid w:val="004736C8"/>
    <w:rsid w:val="004754B0"/>
    <w:rsid w:val="0048014A"/>
    <w:rsid w:val="00481726"/>
    <w:rsid w:val="00482EC0"/>
    <w:rsid w:val="00486E60"/>
    <w:rsid w:val="00487113"/>
    <w:rsid w:val="004901AD"/>
    <w:rsid w:val="00490ABB"/>
    <w:rsid w:val="004942AF"/>
    <w:rsid w:val="0049456B"/>
    <w:rsid w:val="004A300C"/>
    <w:rsid w:val="004A4A27"/>
    <w:rsid w:val="004A6A9A"/>
    <w:rsid w:val="004B3485"/>
    <w:rsid w:val="004C139D"/>
    <w:rsid w:val="004C79C8"/>
    <w:rsid w:val="004D65BF"/>
    <w:rsid w:val="004D68C9"/>
    <w:rsid w:val="004E39E3"/>
    <w:rsid w:val="004E403A"/>
    <w:rsid w:val="004E464B"/>
    <w:rsid w:val="004E6E97"/>
    <w:rsid w:val="004F65E0"/>
    <w:rsid w:val="004F6DBA"/>
    <w:rsid w:val="004F7DAE"/>
    <w:rsid w:val="00503772"/>
    <w:rsid w:val="005051B8"/>
    <w:rsid w:val="00512CB7"/>
    <w:rsid w:val="00520194"/>
    <w:rsid w:val="00522447"/>
    <w:rsid w:val="00522B8E"/>
    <w:rsid w:val="0053194F"/>
    <w:rsid w:val="00535B89"/>
    <w:rsid w:val="00537F44"/>
    <w:rsid w:val="0054508F"/>
    <w:rsid w:val="00555204"/>
    <w:rsid w:val="00561D87"/>
    <w:rsid w:val="005643A2"/>
    <w:rsid w:val="00567D78"/>
    <w:rsid w:val="00572657"/>
    <w:rsid w:val="00582492"/>
    <w:rsid w:val="005852AD"/>
    <w:rsid w:val="00587880"/>
    <w:rsid w:val="00587896"/>
    <w:rsid w:val="005964BC"/>
    <w:rsid w:val="005A2346"/>
    <w:rsid w:val="005A3C20"/>
    <w:rsid w:val="005A7ECD"/>
    <w:rsid w:val="005B1D03"/>
    <w:rsid w:val="005B30F1"/>
    <w:rsid w:val="005B3D6B"/>
    <w:rsid w:val="005B3E52"/>
    <w:rsid w:val="005B525D"/>
    <w:rsid w:val="005B697F"/>
    <w:rsid w:val="005C045E"/>
    <w:rsid w:val="005C7C46"/>
    <w:rsid w:val="005D3392"/>
    <w:rsid w:val="005D4C98"/>
    <w:rsid w:val="005D567E"/>
    <w:rsid w:val="005D5F3A"/>
    <w:rsid w:val="005D7AB4"/>
    <w:rsid w:val="005F23A7"/>
    <w:rsid w:val="005F4DCE"/>
    <w:rsid w:val="005F4E97"/>
    <w:rsid w:val="005F62E8"/>
    <w:rsid w:val="005F6EDC"/>
    <w:rsid w:val="005F7107"/>
    <w:rsid w:val="00600362"/>
    <w:rsid w:val="00601C45"/>
    <w:rsid w:val="00602D96"/>
    <w:rsid w:val="00610E53"/>
    <w:rsid w:val="006128E4"/>
    <w:rsid w:val="00613CA0"/>
    <w:rsid w:val="00617385"/>
    <w:rsid w:val="00623014"/>
    <w:rsid w:val="00625CA0"/>
    <w:rsid w:val="0063213B"/>
    <w:rsid w:val="00633CA7"/>
    <w:rsid w:val="00641EDF"/>
    <w:rsid w:val="00642F7D"/>
    <w:rsid w:val="00650C12"/>
    <w:rsid w:val="006513AD"/>
    <w:rsid w:val="00654193"/>
    <w:rsid w:val="00655EA0"/>
    <w:rsid w:val="006566C3"/>
    <w:rsid w:val="00656C9B"/>
    <w:rsid w:val="00664A43"/>
    <w:rsid w:val="00664DC4"/>
    <w:rsid w:val="00666D12"/>
    <w:rsid w:val="0067095C"/>
    <w:rsid w:val="00673303"/>
    <w:rsid w:val="00673C4E"/>
    <w:rsid w:val="006804C3"/>
    <w:rsid w:val="006826F4"/>
    <w:rsid w:val="00683238"/>
    <w:rsid w:val="00683966"/>
    <w:rsid w:val="00690AE8"/>
    <w:rsid w:val="006925EA"/>
    <w:rsid w:val="006931CE"/>
    <w:rsid w:val="006A246D"/>
    <w:rsid w:val="006A5370"/>
    <w:rsid w:val="006B421C"/>
    <w:rsid w:val="006C2A28"/>
    <w:rsid w:val="006C3045"/>
    <w:rsid w:val="006C3930"/>
    <w:rsid w:val="006C64A1"/>
    <w:rsid w:val="006C67A4"/>
    <w:rsid w:val="006C79C1"/>
    <w:rsid w:val="006D21FE"/>
    <w:rsid w:val="006D54A1"/>
    <w:rsid w:val="006D7B2E"/>
    <w:rsid w:val="006E075D"/>
    <w:rsid w:val="006E5469"/>
    <w:rsid w:val="006F3E42"/>
    <w:rsid w:val="007028C3"/>
    <w:rsid w:val="00704EC3"/>
    <w:rsid w:val="007062DB"/>
    <w:rsid w:val="00707FA9"/>
    <w:rsid w:val="00710090"/>
    <w:rsid w:val="00711C2B"/>
    <w:rsid w:val="00720671"/>
    <w:rsid w:val="00721489"/>
    <w:rsid w:val="00721BC8"/>
    <w:rsid w:val="007363A3"/>
    <w:rsid w:val="00740463"/>
    <w:rsid w:val="00743BC7"/>
    <w:rsid w:val="00744B92"/>
    <w:rsid w:val="00765493"/>
    <w:rsid w:val="00766A67"/>
    <w:rsid w:val="00767B85"/>
    <w:rsid w:val="00770817"/>
    <w:rsid w:val="00773B60"/>
    <w:rsid w:val="00776121"/>
    <w:rsid w:val="00776F8C"/>
    <w:rsid w:val="00785408"/>
    <w:rsid w:val="00791569"/>
    <w:rsid w:val="00792052"/>
    <w:rsid w:val="0079295D"/>
    <w:rsid w:val="00793A8D"/>
    <w:rsid w:val="00797BF6"/>
    <w:rsid w:val="007A4DDD"/>
    <w:rsid w:val="007A7C71"/>
    <w:rsid w:val="007B09F6"/>
    <w:rsid w:val="007C1D83"/>
    <w:rsid w:val="007C3A77"/>
    <w:rsid w:val="007C5643"/>
    <w:rsid w:val="007C6434"/>
    <w:rsid w:val="007D2D6D"/>
    <w:rsid w:val="007D47E4"/>
    <w:rsid w:val="007E00DB"/>
    <w:rsid w:val="007E37E5"/>
    <w:rsid w:val="007E44D8"/>
    <w:rsid w:val="007F045E"/>
    <w:rsid w:val="007F2F4B"/>
    <w:rsid w:val="007F553B"/>
    <w:rsid w:val="00803BB4"/>
    <w:rsid w:val="00804386"/>
    <w:rsid w:val="00807AC9"/>
    <w:rsid w:val="008165D4"/>
    <w:rsid w:val="00816936"/>
    <w:rsid w:val="00816B9B"/>
    <w:rsid w:val="00824502"/>
    <w:rsid w:val="00825796"/>
    <w:rsid w:val="00826B4C"/>
    <w:rsid w:val="008271A7"/>
    <w:rsid w:val="008436F5"/>
    <w:rsid w:val="008465A8"/>
    <w:rsid w:val="00854B9E"/>
    <w:rsid w:val="00857599"/>
    <w:rsid w:val="00860270"/>
    <w:rsid w:val="00870CEF"/>
    <w:rsid w:val="008809A8"/>
    <w:rsid w:val="00884A9A"/>
    <w:rsid w:val="00885CB2"/>
    <w:rsid w:val="0088663B"/>
    <w:rsid w:val="0089345A"/>
    <w:rsid w:val="00893DD7"/>
    <w:rsid w:val="00896659"/>
    <w:rsid w:val="00896C03"/>
    <w:rsid w:val="008970A6"/>
    <w:rsid w:val="008A0583"/>
    <w:rsid w:val="008A7FE4"/>
    <w:rsid w:val="008B7C8A"/>
    <w:rsid w:val="008C2335"/>
    <w:rsid w:val="008C6259"/>
    <w:rsid w:val="008C72B4"/>
    <w:rsid w:val="008D0604"/>
    <w:rsid w:val="008D2E05"/>
    <w:rsid w:val="008D37F8"/>
    <w:rsid w:val="008D3AF5"/>
    <w:rsid w:val="008D53A1"/>
    <w:rsid w:val="008D6144"/>
    <w:rsid w:val="008E1D5B"/>
    <w:rsid w:val="008E4335"/>
    <w:rsid w:val="008F57FE"/>
    <w:rsid w:val="008F7C41"/>
    <w:rsid w:val="00902238"/>
    <w:rsid w:val="009028C6"/>
    <w:rsid w:val="0090316F"/>
    <w:rsid w:val="0091399B"/>
    <w:rsid w:val="009144EC"/>
    <w:rsid w:val="009175D9"/>
    <w:rsid w:val="009208FC"/>
    <w:rsid w:val="00926363"/>
    <w:rsid w:val="00927E34"/>
    <w:rsid w:val="00937E85"/>
    <w:rsid w:val="0094308A"/>
    <w:rsid w:val="00946525"/>
    <w:rsid w:val="009504DC"/>
    <w:rsid w:val="00951F97"/>
    <w:rsid w:val="00954BAB"/>
    <w:rsid w:val="00957EDA"/>
    <w:rsid w:val="00963B9E"/>
    <w:rsid w:val="00964262"/>
    <w:rsid w:val="00971CA9"/>
    <w:rsid w:val="00983E87"/>
    <w:rsid w:val="00984D76"/>
    <w:rsid w:val="00987E06"/>
    <w:rsid w:val="0099017D"/>
    <w:rsid w:val="00991BA9"/>
    <w:rsid w:val="00992A4D"/>
    <w:rsid w:val="00992F7C"/>
    <w:rsid w:val="009969DF"/>
    <w:rsid w:val="009A2C6A"/>
    <w:rsid w:val="009A3148"/>
    <w:rsid w:val="009B523B"/>
    <w:rsid w:val="009B7505"/>
    <w:rsid w:val="009C197B"/>
    <w:rsid w:val="009C30E6"/>
    <w:rsid w:val="009D398B"/>
    <w:rsid w:val="009F08B4"/>
    <w:rsid w:val="009F391D"/>
    <w:rsid w:val="009F42A3"/>
    <w:rsid w:val="00A0462E"/>
    <w:rsid w:val="00A05CD4"/>
    <w:rsid w:val="00A076D7"/>
    <w:rsid w:val="00A07933"/>
    <w:rsid w:val="00A129C7"/>
    <w:rsid w:val="00A148A8"/>
    <w:rsid w:val="00A16FD9"/>
    <w:rsid w:val="00A2583C"/>
    <w:rsid w:val="00A32084"/>
    <w:rsid w:val="00A358F7"/>
    <w:rsid w:val="00A367CB"/>
    <w:rsid w:val="00A42425"/>
    <w:rsid w:val="00A51842"/>
    <w:rsid w:val="00A54536"/>
    <w:rsid w:val="00A547CF"/>
    <w:rsid w:val="00A6117E"/>
    <w:rsid w:val="00A63630"/>
    <w:rsid w:val="00A70513"/>
    <w:rsid w:val="00A7159D"/>
    <w:rsid w:val="00A7339F"/>
    <w:rsid w:val="00A8104D"/>
    <w:rsid w:val="00A857C1"/>
    <w:rsid w:val="00A93A20"/>
    <w:rsid w:val="00A941D5"/>
    <w:rsid w:val="00A96ED8"/>
    <w:rsid w:val="00A97222"/>
    <w:rsid w:val="00AA00C3"/>
    <w:rsid w:val="00AA1F4D"/>
    <w:rsid w:val="00AA5BBA"/>
    <w:rsid w:val="00AB6BE2"/>
    <w:rsid w:val="00AB7365"/>
    <w:rsid w:val="00AC0EC5"/>
    <w:rsid w:val="00AC1F1D"/>
    <w:rsid w:val="00AC36F3"/>
    <w:rsid w:val="00AC3EFE"/>
    <w:rsid w:val="00AC5379"/>
    <w:rsid w:val="00AC611A"/>
    <w:rsid w:val="00AC6CCB"/>
    <w:rsid w:val="00AC6DC2"/>
    <w:rsid w:val="00AD0F2B"/>
    <w:rsid w:val="00AD1AD9"/>
    <w:rsid w:val="00AD4DE7"/>
    <w:rsid w:val="00AD61B1"/>
    <w:rsid w:val="00AE2F19"/>
    <w:rsid w:val="00AF7CB7"/>
    <w:rsid w:val="00B007A3"/>
    <w:rsid w:val="00B0195B"/>
    <w:rsid w:val="00B04F13"/>
    <w:rsid w:val="00B1086B"/>
    <w:rsid w:val="00B15EDA"/>
    <w:rsid w:val="00B17ABD"/>
    <w:rsid w:val="00B25080"/>
    <w:rsid w:val="00B30FA8"/>
    <w:rsid w:val="00B31363"/>
    <w:rsid w:val="00B3501B"/>
    <w:rsid w:val="00B53211"/>
    <w:rsid w:val="00B6417C"/>
    <w:rsid w:val="00B66774"/>
    <w:rsid w:val="00B66D58"/>
    <w:rsid w:val="00B7425F"/>
    <w:rsid w:val="00B77DBD"/>
    <w:rsid w:val="00B80DA6"/>
    <w:rsid w:val="00B826EE"/>
    <w:rsid w:val="00BA2B80"/>
    <w:rsid w:val="00BA2BC1"/>
    <w:rsid w:val="00BB0B91"/>
    <w:rsid w:val="00BB63BF"/>
    <w:rsid w:val="00BB7055"/>
    <w:rsid w:val="00BC1364"/>
    <w:rsid w:val="00BC1D00"/>
    <w:rsid w:val="00BC2AC2"/>
    <w:rsid w:val="00BC67DF"/>
    <w:rsid w:val="00BD27B7"/>
    <w:rsid w:val="00BD2D9C"/>
    <w:rsid w:val="00BD5EAF"/>
    <w:rsid w:val="00BE2337"/>
    <w:rsid w:val="00BE29A5"/>
    <w:rsid w:val="00BE6EAE"/>
    <w:rsid w:val="00BE7230"/>
    <w:rsid w:val="00C02472"/>
    <w:rsid w:val="00C03138"/>
    <w:rsid w:val="00C0321F"/>
    <w:rsid w:val="00C0578F"/>
    <w:rsid w:val="00C1350B"/>
    <w:rsid w:val="00C33387"/>
    <w:rsid w:val="00C36628"/>
    <w:rsid w:val="00C41AC0"/>
    <w:rsid w:val="00C423A0"/>
    <w:rsid w:val="00C502A0"/>
    <w:rsid w:val="00C52FE2"/>
    <w:rsid w:val="00C544DC"/>
    <w:rsid w:val="00C65A68"/>
    <w:rsid w:val="00C723CB"/>
    <w:rsid w:val="00C73139"/>
    <w:rsid w:val="00C7750E"/>
    <w:rsid w:val="00C817CB"/>
    <w:rsid w:val="00C84191"/>
    <w:rsid w:val="00C871AE"/>
    <w:rsid w:val="00C96942"/>
    <w:rsid w:val="00CA1657"/>
    <w:rsid w:val="00CA1D25"/>
    <w:rsid w:val="00CA23D8"/>
    <w:rsid w:val="00CA2D6A"/>
    <w:rsid w:val="00CA2EF0"/>
    <w:rsid w:val="00CA7797"/>
    <w:rsid w:val="00CB1FA7"/>
    <w:rsid w:val="00CB2877"/>
    <w:rsid w:val="00CB4429"/>
    <w:rsid w:val="00CC2EBD"/>
    <w:rsid w:val="00CC7A63"/>
    <w:rsid w:val="00CC7EAA"/>
    <w:rsid w:val="00CD03AD"/>
    <w:rsid w:val="00CD24D2"/>
    <w:rsid w:val="00CD5799"/>
    <w:rsid w:val="00CE0D8D"/>
    <w:rsid w:val="00CE22A1"/>
    <w:rsid w:val="00CE2DAE"/>
    <w:rsid w:val="00CE4FAA"/>
    <w:rsid w:val="00CE5B6B"/>
    <w:rsid w:val="00CF0404"/>
    <w:rsid w:val="00CF4583"/>
    <w:rsid w:val="00D0109D"/>
    <w:rsid w:val="00D07EA2"/>
    <w:rsid w:val="00D11EE2"/>
    <w:rsid w:val="00D15285"/>
    <w:rsid w:val="00D1616A"/>
    <w:rsid w:val="00D208AD"/>
    <w:rsid w:val="00D211C8"/>
    <w:rsid w:val="00D260FD"/>
    <w:rsid w:val="00D2686F"/>
    <w:rsid w:val="00D36530"/>
    <w:rsid w:val="00D36AF7"/>
    <w:rsid w:val="00D36BDA"/>
    <w:rsid w:val="00D42A53"/>
    <w:rsid w:val="00D44CDA"/>
    <w:rsid w:val="00D46A94"/>
    <w:rsid w:val="00D506C8"/>
    <w:rsid w:val="00D51504"/>
    <w:rsid w:val="00D55D51"/>
    <w:rsid w:val="00D6439B"/>
    <w:rsid w:val="00D70F21"/>
    <w:rsid w:val="00D843E5"/>
    <w:rsid w:val="00D844EA"/>
    <w:rsid w:val="00D87D91"/>
    <w:rsid w:val="00D9020D"/>
    <w:rsid w:val="00D9383F"/>
    <w:rsid w:val="00DA64EC"/>
    <w:rsid w:val="00DB0D07"/>
    <w:rsid w:val="00DB6500"/>
    <w:rsid w:val="00DB7289"/>
    <w:rsid w:val="00DB7379"/>
    <w:rsid w:val="00DC037E"/>
    <w:rsid w:val="00DC2F24"/>
    <w:rsid w:val="00DC32C7"/>
    <w:rsid w:val="00DE1FF3"/>
    <w:rsid w:val="00DE2C09"/>
    <w:rsid w:val="00DE36DA"/>
    <w:rsid w:val="00DF2BB1"/>
    <w:rsid w:val="00DF7841"/>
    <w:rsid w:val="00E02CBA"/>
    <w:rsid w:val="00E065A9"/>
    <w:rsid w:val="00E07B87"/>
    <w:rsid w:val="00E07E2D"/>
    <w:rsid w:val="00E10765"/>
    <w:rsid w:val="00E123FE"/>
    <w:rsid w:val="00E14B47"/>
    <w:rsid w:val="00E159A0"/>
    <w:rsid w:val="00E16D9E"/>
    <w:rsid w:val="00E208B6"/>
    <w:rsid w:val="00E24A3D"/>
    <w:rsid w:val="00E35302"/>
    <w:rsid w:val="00E37DC4"/>
    <w:rsid w:val="00E47524"/>
    <w:rsid w:val="00E47FB4"/>
    <w:rsid w:val="00E50419"/>
    <w:rsid w:val="00E557C5"/>
    <w:rsid w:val="00E61E43"/>
    <w:rsid w:val="00E62324"/>
    <w:rsid w:val="00E62B28"/>
    <w:rsid w:val="00E64AC7"/>
    <w:rsid w:val="00E655F1"/>
    <w:rsid w:val="00E66A39"/>
    <w:rsid w:val="00E7302D"/>
    <w:rsid w:val="00E73BD7"/>
    <w:rsid w:val="00E74AD1"/>
    <w:rsid w:val="00E832D9"/>
    <w:rsid w:val="00E8602D"/>
    <w:rsid w:val="00E91853"/>
    <w:rsid w:val="00E93124"/>
    <w:rsid w:val="00E940A4"/>
    <w:rsid w:val="00EA05FA"/>
    <w:rsid w:val="00EA602C"/>
    <w:rsid w:val="00EB5E13"/>
    <w:rsid w:val="00EB62BF"/>
    <w:rsid w:val="00EB7A07"/>
    <w:rsid w:val="00EB7C30"/>
    <w:rsid w:val="00EC5A1F"/>
    <w:rsid w:val="00ED2EFA"/>
    <w:rsid w:val="00ED3F43"/>
    <w:rsid w:val="00ED4335"/>
    <w:rsid w:val="00ED4DE9"/>
    <w:rsid w:val="00EE491E"/>
    <w:rsid w:val="00EF02EE"/>
    <w:rsid w:val="00EF0656"/>
    <w:rsid w:val="00EF0874"/>
    <w:rsid w:val="00EF1B15"/>
    <w:rsid w:val="00EF3938"/>
    <w:rsid w:val="00EF4776"/>
    <w:rsid w:val="00F015C4"/>
    <w:rsid w:val="00F03F7D"/>
    <w:rsid w:val="00F0596C"/>
    <w:rsid w:val="00F20514"/>
    <w:rsid w:val="00F31651"/>
    <w:rsid w:val="00F443C2"/>
    <w:rsid w:val="00F55A51"/>
    <w:rsid w:val="00F60752"/>
    <w:rsid w:val="00F628EF"/>
    <w:rsid w:val="00F65D5C"/>
    <w:rsid w:val="00F67C3D"/>
    <w:rsid w:val="00F70C95"/>
    <w:rsid w:val="00F7131E"/>
    <w:rsid w:val="00F71F64"/>
    <w:rsid w:val="00F76300"/>
    <w:rsid w:val="00F84E39"/>
    <w:rsid w:val="00F910B9"/>
    <w:rsid w:val="00F93223"/>
    <w:rsid w:val="00F93CFC"/>
    <w:rsid w:val="00F9775E"/>
    <w:rsid w:val="00FA39CF"/>
    <w:rsid w:val="00FA5168"/>
    <w:rsid w:val="00FA686F"/>
    <w:rsid w:val="00FB185A"/>
    <w:rsid w:val="00FB3427"/>
    <w:rsid w:val="00FB35FB"/>
    <w:rsid w:val="00FB4719"/>
    <w:rsid w:val="00FB7833"/>
    <w:rsid w:val="00FC28AA"/>
    <w:rsid w:val="00FC46DD"/>
    <w:rsid w:val="00FC483C"/>
    <w:rsid w:val="00FD17A2"/>
    <w:rsid w:val="00FE0313"/>
    <w:rsid w:val="00FF040A"/>
    <w:rsid w:val="00FF07F3"/>
    <w:rsid w:val="00FF416E"/>
    <w:rsid w:val="139D6B17"/>
    <w:rsid w:val="19C34B33"/>
    <w:rsid w:val="3BDD31F8"/>
    <w:rsid w:val="49024B1B"/>
    <w:rsid w:val="75C821E7"/>
    <w:rsid w:val="75FA74C6"/>
    <w:rsid w:val="7A8F4A2C"/>
    <w:rsid w:val="7E6850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00A011"/>
  <w15:docId w15:val="{B9254849-C733-4A41-9A2B-FD6D1F9B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unhideWhenUsed="1"/>
    <w:lsdException w:name="Table Grid" w:uiPriority="59" w:unhideWhenUsed="1" w:qFormat="1"/>
    <w:lsdException w:name="Table Theme"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nhideWhenUsed/>
    <w:qFormat/>
    <w:pPr>
      <w:keepNext/>
      <w:keepLines/>
      <w:spacing w:before="260" w:after="260" w:line="416" w:lineRule="auto"/>
      <w:outlineLvl w:val="2"/>
    </w:pPr>
    <w:rPr>
      <w:b/>
      <w:bCs/>
      <w:sz w:val="32"/>
      <w:szCs w:val="32"/>
    </w:rPr>
  </w:style>
  <w:style w:type="paragraph" w:styleId="4">
    <w:name w:val="heading 4"/>
    <w:basedOn w:val="a0"/>
    <w:next w:val="a0"/>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0"/>
    <w:uiPriority w:val="9"/>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qFormat/>
    <w:pPr>
      <w:widowControl w:val="0"/>
      <w:snapToGrid/>
      <w:spacing w:line="360" w:lineRule="auto"/>
      <w:ind w:firstLineChars="0" w:firstLine="0"/>
    </w:pPr>
    <w:rPr>
      <w:rFonts w:ascii="Times New Roman" w:eastAsia="宋体" w:hAnsi="Times New Roman"/>
      <w:b/>
      <w:bCs/>
      <w:kern w:val="2"/>
      <w:szCs w:val="24"/>
    </w:rPr>
  </w:style>
  <w:style w:type="paragraph" w:styleId="a5">
    <w:name w:val="annotation text"/>
    <w:basedOn w:val="a0"/>
    <w:link w:val="a7"/>
    <w:unhideWhenUsed/>
    <w:qFormat/>
    <w:pPr>
      <w:widowControl/>
      <w:snapToGrid w:val="0"/>
      <w:ind w:firstLineChars="200" w:firstLine="200"/>
      <w:jc w:val="left"/>
    </w:pPr>
    <w:rPr>
      <w:rFonts w:ascii="Calibri" w:eastAsia="方正书宋_GBK" w:hAnsi="Calibri"/>
      <w:kern w:val="0"/>
      <w:szCs w:val="22"/>
      <w:lang w:val="ru-RU" w:eastAsia="en-US"/>
    </w:rPr>
  </w:style>
  <w:style w:type="paragraph" w:styleId="TOC7">
    <w:name w:val="toc 7"/>
    <w:basedOn w:val="a0"/>
    <w:next w:val="a0"/>
    <w:uiPriority w:val="39"/>
    <w:unhideWhenUsed/>
    <w:qFormat/>
    <w:pPr>
      <w:ind w:leftChars="1200" w:left="2520"/>
    </w:pPr>
    <w:rPr>
      <w:rFonts w:ascii="Calibri" w:hAnsi="Calibri"/>
      <w:szCs w:val="22"/>
    </w:rPr>
  </w:style>
  <w:style w:type="paragraph" w:styleId="a8">
    <w:name w:val="caption"/>
    <w:basedOn w:val="a0"/>
    <w:next w:val="a0"/>
    <w:uiPriority w:val="99"/>
    <w:unhideWhenUsed/>
    <w:qFormat/>
    <w:pPr>
      <w:jc w:val="left"/>
    </w:pPr>
    <w:rPr>
      <w:rFonts w:ascii="Calibri Light" w:eastAsia="黑体" w:hAnsi="Calibri Light"/>
      <w:sz w:val="20"/>
    </w:rPr>
  </w:style>
  <w:style w:type="paragraph" w:styleId="a9">
    <w:name w:val="Document Map"/>
    <w:basedOn w:val="a0"/>
    <w:link w:val="aa"/>
    <w:qFormat/>
    <w:pPr>
      <w:spacing w:line="360" w:lineRule="auto"/>
      <w:jc w:val="left"/>
    </w:pPr>
    <w:rPr>
      <w:rFonts w:ascii="宋体"/>
      <w:sz w:val="18"/>
      <w:szCs w:val="18"/>
    </w:rPr>
  </w:style>
  <w:style w:type="paragraph" w:styleId="TOC5">
    <w:name w:val="toc 5"/>
    <w:basedOn w:val="a0"/>
    <w:next w:val="a0"/>
    <w:uiPriority w:val="39"/>
    <w:unhideWhenUsed/>
    <w:qFormat/>
    <w:pPr>
      <w:ind w:leftChars="800" w:left="1680"/>
    </w:pPr>
    <w:rPr>
      <w:rFonts w:ascii="Calibri" w:hAnsi="Calibri"/>
      <w:szCs w:val="22"/>
    </w:rPr>
  </w:style>
  <w:style w:type="paragraph" w:styleId="TOC3">
    <w:name w:val="toc 3"/>
    <w:basedOn w:val="a0"/>
    <w:next w:val="a0"/>
    <w:uiPriority w:val="39"/>
    <w:unhideWhenUsed/>
    <w:qFormat/>
    <w:pPr>
      <w:ind w:leftChars="400" w:left="840"/>
    </w:pPr>
  </w:style>
  <w:style w:type="paragraph" w:styleId="TOC8">
    <w:name w:val="toc 8"/>
    <w:basedOn w:val="a0"/>
    <w:next w:val="a0"/>
    <w:uiPriority w:val="39"/>
    <w:unhideWhenUsed/>
    <w:qFormat/>
    <w:pPr>
      <w:ind w:leftChars="1400" w:left="2940"/>
    </w:pPr>
    <w:rPr>
      <w:rFonts w:ascii="Calibri" w:hAnsi="Calibri"/>
      <w:szCs w:val="22"/>
    </w:rPr>
  </w:style>
  <w:style w:type="paragraph" w:styleId="ab">
    <w:name w:val="Date"/>
    <w:basedOn w:val="a0"/>
    <w:next w:val="a0"/>
    <w:link w:val="ac"/>
    <w:unhideWhenUsed/>
    <w:pPr>
      <w:ind w:leftChars="2500" w:left="100"/>
    </w:pPr>
  </w:style>
  <w:style w:type="paragraph" w:styleId="ad">
    <w:name w:val="Balloon Text"/>
    <w:basedOn w:val="a0"/>
    <w:link w:val="ae"/>
    <w:uiPriority w:val="99"/>
    <w:unhideWhenUsed/>
    <w:rPr>
      <w:sz w:val="18"/>
      <w:szCs w:val="18"/>
    </w:rPr>
  </w:style>
  <w:style w:type="paragraph" w:styleId="af">
    <w:name w:val="footer"/>
    <w:basedOn w:val="a0"/>
    <w:link w:val="af0"/>
    <w:uiPriority w:val="99"/>
    <w:qFormat/>
    <w:pPr>
      <w:tabs>
        <w:tab w:val="center" w:pos="4153"/>
        <w:tab w:val="right" w:pos="8306"/>
      </w:tabs>
      <w:snapToGrid w:val="0"/>
      <w:jc w:val="left"/>
    </w:pPr>
    <w:rPr>
      <w:sz w:val="18"/>
      <w:szCs w:val="18"/>
    </w:rPr>
  </w:style>
  <w:style w:type="paragraph" w:styleId="af1">
    <w:name w:val="header"/>
    <w:basedOn w:val="a0"/>
    <w:link w:val="af2"/>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next w:val="a0"/>
    <w:uiPriority w:val="39"/>
    <w:qFormat/>
    <w:pPr>
      <w:jc w:val="both"/>
    </w:pPr>
    <w:rPr>
      <w:rFonts w:ascii="宋体" w:hAnsi="宋体"/>
      <w:sz w:val="21"/>
      <w:szCs w:val="21"/>
    </w:rPr>
  </w:style>
  <w:style w:type="paragraph" w:styleId="TOC4">
    <w:name w:val="toc 4"/>
    <w:basedOn w:val="a0"/>
    <w:next w:val="a0"/>
    <w:uiPriority w:val="39"/>
    <w:unhideWhenUsed/>
    <w:qFormat/>
    <w:pPr>
      <w:ind w:leftChars="600" w:left="1260"/>
    </w:pPr>
    <w:rPr>
      <w:rFonts w:ascii="Calibri" w:hAnsi="Calibri"/>
      <w:szCs w:val="22"/>
    </w:rPr>
  </w:style>
  <w:style w:type="paragraph" w:styleId="af3">
    <w:name w:val="Subtitle"/>
    <w:basedOn w:val="a0"/>
    <w:next w:val="a0"/>
    <w:link w:val="af4"/>
    <w:qFormat/>
    <w:pPr>
      <w:spacing w:before="240" w:after="60" w:line="312" w:lineRule="auto"/>
      <w:jc w:val="center"/>
      <w:outlineLvl w:val="1"/>
    </w:pPr>
    <w:rPr>
      <w:rFonts w:ascii="Cambria" w:hAnsi="Cambria"/>
      <w:b/>
      <w:bCs/>
      <w:kern w:val="28"/>
      <w:sz w:val="32"/>
      <w:szCs w:val="32"/>
    </w:rPr>
  </w:style>
  <w:style w:type="paragraph" w:styleId="TOC6">
    <w:name w:val="toc 6"/>
    <w:basedOn w:val="a0"/>
    <w:next w:val="a0"/>
    <w:uiPriority w:val="39"/>
    <w:unhideWhenUsed/>
    <w:qFormat/>
    <w:pPr>
      <w:ind w:leftChars="1000" w:left="2100"/>
    </w:pPr>
    <w:rPr>
      <w:rFonts w:ascii="Calibri" w:hAnsi="Calibri"/>
      <w:szCs w:val="22"/>
    </w:rPr>
  </w:style>
  <w:style w:type="paragraph" w:styleId="af5">
    <w:name w:val="table of figures"/>
    <w:basedOn w:val="a0"/>
    <w:next w:val="a0"/>
    <w:uiPriority w:val="99"/>
    <w:qFormat/>
    <w:pPr>
      <w:spacing w:line="360" w:lineRule="auto"/>
      <w:ind w:leftChars="200" w:left="200" w:hangingChars="200" w:hanging="200"/>
      <w:jc w:val="left"/>
    </w:pPr>
    <w:rPr>
      <w:szCs w:val="24"/>
    </w:rPr>
  </w:style>
  <w:style w:type="paragraph" w:styleId="TOC2">
    <w:name w:val="toc 2"/>
    <w:basedOn w:val="a0"/>
    <w:next w:val="a0"/>
    <w:uiPriority w:val="39"/>
    <w:unhideWhenUsed/>
    <w:qFormat/>
    <w:pPr>
      <w:ind w:leftChars="200" w:left="420"/>
    </w:pPr>
  </w:style>
  <w:style w:type="paragraph" w:styleId="TOC9">
    <w:name w:val="toc 9"/>
    <w:basedOn w:val="a0"/>
    <w:next w:val="a0"/>
    <w:uiPriority w:val="39"/>
    <w:unhideWhenUsed/>
    <w:qFormat/>
    <w:pPr>
      <w:ind w:leftChars="1600" w:left="3360"/>
    </w:pPr>
    <w:rPr>
      <w:rFonts w:ascii="Calibri" w:hAnsi="Calibri"/>
      <w:szCs w:val="22"/>
    </w:rPr>
  </w:style>
  <w:style w:type="paragraph" w:styleId="af6">
    <w:name w:val="Normal (Web)"/>
    <w:basedOn w:val="a0"/>
    <w:uiPriority w:val="99"/>
    <w:qFormat/>
    <w:rPr>
      <w:rFonts w:ascii="Calibri" w:hAnsi="Calibri"/>
      <w:sz w:val="24"/>
      <w:szCs w:val="24"/>
    </w:rPr>
  </w:style>
  <w:style w:type="paragraph" w:styleId="af7">
    <w:name w:val="Title"/>
    <w:basedOn w:val="a0"/>
    <w:next w:val="a0"/>
    <w:link w:val="af8"/>
    <w:qFormat/>
    <w:pPr>
      <w:spacing w:before="240" w:after="60" w:line="360" w:lineRule="auto"/>
      <w:jc w:val="center"/>
      <w:outlineLvl w:val="0"/>
    </w:pPr>
    <w:rPr>
      <w:rFonts w:ascii="Cambria" w:eastAsia="黑体" w:hAnsi="Cambria"/>
      <w:b/>
      <w:bCs/>
      <w:sz w:val="32"/>
      <w:szCs w:val="32"/>
    </w:rPr>
  </w:style>
  <w:style w:type="character" w:styleId="af9">
    <w:name w:val="Strong"/>
    <w:qFormat/>
    <w:rPr>
      <w:b/>
      <w:bCs/>
    </w:rPr>
  </w:style>
  <w:style w:type="character" w:styleId="afa">
    <w:name w:val="page number"/>
    <w:uiPriority w:val="99"/>
    <w:unhideWhenUsed/>
    <w:qFormat/>
  </w:style>
  <w:style w:type="character" w:styleId="afb">
    <w:name w:val="Emphasis"/>
    <w:qFormat/>
    <w:rPr>
      <w:i/>
      <w:iCs/>
    </w:rPr>
  </w:style>
  <w:style w:type="character" w:styleId="afc">
    <w:name w:val="Hyperlink"/>
    <w:basedOn w:val="a1"/>
    <w:uiPriority w:val="99"/>
    <w:qFormat/>
    <w:rPr>
      <w:color w:val="0000FF"/>
      <w:spacing w:val="0"/>
      <w:w w:val="100"/>
      <w:szCs w:val="21"/>
      <w:u w:val="single"/>
    </w:rPr>
  </w:style>
  <w:style w:type="character" w:styleId="afd">
    <w:name w:val="annotation reference"/>
    <w:basedOn w:val="a1"/>
    <w:uiPriority w:val="99"/>
    <w:unhideWhenUsed/>
    <w:qFormat/>
    <w:rPr>
      <w:sz w:val="21"/>
      <w:szCs w:val="21"/>
    </w:rPr>
  </w:style>
  <w:style w:type="table" w:styleId="afe">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Simple 1"/>
    <w:basedOn w:val="a2"/>
    <w:qFormat/>
    <w:pPr>
      <w:widowControl w:val="0"/>
      <w:spacing w:line="360" w:lineRule="auto"/>
      <w:ind w:firstLineChars="200" w:firstLine="20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Char">
    <w:name w:val="章标题 Char"/>
    <w:link w:val="a"/>
    <w:qFormat/>
    <w:rPr>
      <w:rFonts w:ascii="黑体" w:eastAsia="黑体"/>
      <w:kern w:val="2"/>
      <w:sz w:val="21"/>
      <w:szCs w:val="22"/>
    </w:rPr>
  </w:style>
  <w:style w:type="paragraph" w:customStyle="1" w:styleId="a">
    <w:name w:val="章标题"/>
    <w:next w:val="aff"/>
    <w:link w:val="Char"/>
    <w:qFormat/>
    <w:pPr>
      <w:numPr>
        <w:ilvl w:val="1"/>
        <w:numId w:val="1"/>
      </w:numPr>
      <w:tabs>
        <w:tab w:val="left" w:pos="720"/>
      </w:tabs>
      <w:spacing w:beforeLines="50" w:afterLines="50"/>
      <w:jc w:val="both"/>
      <w:outlineLvl w:val="1"/>
    </w:pPr>
    <w:rPr>
      <w:rFonts w:ascii="黑体" w:eastAsia="黑体" w:hAnsiTheme="minorHAnsi" w:cstheme="minorBidi"/>
      <w:kern w:val="2"/>
      <w:sz w:val="21"/>
      <w:szCs w:val="22"/>
    </w:rPr>
  </w:style>
  <w:style w:type="paragraph" w:customStyle="1" w:styleId="aff">
    <w:name w:val="段"/>
    <w:link w:val="Char0"/>
    <w:qFormat/>
    <w:pPr>
      <w:autoSpaceDE w:val="0"/>
      <w:autoSpaceDN w:val="0"/>
      <w:ind w:firstLineChars="200" w:firstLine="200"/>
      <w:jc w:val="both"/>
    </w:pPr>
    <w:rPr>
      <w:rFonts w:ascii="宋体"/>
      <w:sz w:val="21"/>
    </w:rPr>
  </w:style>
  <w:style w:type="character" w:customStyle="1" w:styleId="af0">
    <w:name w:val="页脚 字符"/>
    <w:basedOn w:val="a1"/>
    <w:link w:val="af"/>
    <w:uiPriority w:val="99"/>
    <w:qFormat/>
    <w:rPr>
      <w:rFonts w:ascii="Times New Roman" w:eastAsia="宋体" w:hAnsi="Times New Roman" w:cs="Times New Roman"/>
      <w:sz w:val="18"/>
      <w:szCs w:val="18"/>
    </w:rPr>
  </w:style>
  <w:style w:type="character" w:customStyle="1" w:styleId="af2">
    <w:name w:val="页眉 字符"/>
    <w:basedOn w:val="a1"/>
    <w:link w:val="af1"/>
    <w:uiPriority w:val="99"/>
    <w:qFormat/>
    <w:rPr>
      <w:rFonts w:ascii="Times New Roman" w:eastAsia="宋体" w:hAnsi="Times New Roman" w:cs="Times New Roman"/>
      <w:sz w:val="18"/>
      <w:szCs w:val="18"/>
    </w:rPr>
  </w:style>
  <w:style w:type="paragraph" w:customStyle="1" w:styleId="a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1">
    <w:name w:val="文献分类号"/>
    <w:qFormat/>
    <w:pPr>
      <w:framePr w:hSpace="180" w:vSpace="180" w:wrap="around" w:hAnchor="margin" w:y="1" w:anchorLock="1"/>
      <w:widowControl w:val="0"/>
      <w:textAlignment w:val="center"/>
    </w:pPr>
    <w:rPr>
      <w:rFonts w:eastAsia="黑体"/>
      <w:sz w:val="21"/>
    </w:rPr>
  </w:style>
  <w:style w:type="paragraph" w:customStyle="1" w:styleId="aff2">
    <w:name w:val="标准书脚_奇数页"/>
    <w:pPr>
      <w:spacing w:before="120"/>
      <w:jc w:val="right"/>
    </w:pPr>
    <w:rPr>
      <w:sz w:val="18"/>
    </w:rPr>
  </w:style>
  <w:style w:type="paragraph" w:customStyle="1" w:styleId="WPSOffice1">
    <w:name w:val="WPSOffice手动目录 1"/>
    <w:qFormat/>
  </w:style>
  <w:style w:type="paragraph" w:customStyle="1" w:styleId="aff3">
    <w:name w:val="目次、标准名称标题"/>
    <w:basedOn w:val="a0"/>
    <w:next w:val="aff"/>
    <w:qFormat/>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0">
    <w:name w:val="段 Char"/>
    <w:link w:val="aff"/>
    <w:qFormat/>
    <w:rPr>
      <w:rFonts w:ascii="宋体" w:eastAsia="宋体" w:hAnsi="Times New Roman" w:cs="Times New Roman"/>
      <w:kern w:val="0"/>
      <w:szCs w:val="20"/>
    </w:rPr>
  </w:style>
  <w:style w:type="paragraph" w:customStyle="1" w:styleId="aff4">
    <w:name w:val="一级条标题"/>
    <w:next w:val="aff"/>
    <w:qFormat/>
    <w:pPr>
      <w:spacing w:beforeLines="50" w:afterLines="50"/>
      <w:ind w:left="426"/>
      <w:outlineLvl w:val="2"/>
    </w:pPr>
    <w:rPr>
      <w:rFonts w:ascii="黑体" w:eastAsia="黑体"/>
      <w:sz w:val="21"/>
      <w:szCs w:val="21"/>
    </w:rPr>
  </w:style>
  <w:style w:type="paragraph" w:customStyle="1" w:styleId="aff5">
    <w:name w:val="二级条标题"/>
    <w:basedOn w:val="aff4"/>
    <w:next w:val="aff"/>
    <w:qFormat/>
    <w:pPr>
      <w:spacing w:before="50" w:after="50"/>
      <w:ind w:left="0"/>
      <w:outlineLvl w:val="3"/>
    </w:pPr>
  </w:style>
  <w:style w:type="paragraph" w:customStyle="1" w:styleId="aff6">
    <w:name w:val="三级条标题"/>
    <w:basedOn w:val="aff5"/>
    <w:next w:val="aff"/>
    <w:qFormat/>
    <w:pPr>
      <w:outlineLvl w:val="4"/>
    </w:pPr>
  </w:style>
  <w:style w:type="paragraph" w:customStyle="1" w:styleId="aff7">
    <w:name w:val="四级条标题"/>
    <w:basedOn w:val="aff6"/>
    <w:next w:val="aff"/>
    <w:qFormat/>
    <w:pPr>
      <w:outlineLvl w:val="5"/>
    </w:pPr>
  </w:style>
  <w:style w:type="paragraph" w:customStyle="1" w:styleId="aff8">
    <w:name w:val="五级条标题"/>
    <w:basedOn w:val="aff7"/>
    <w:next w:val="aff"/>
    <w:qFormat/>
    <w:pPr>
      <w:outlineLvl w:val="6"/>
    </w:pPr>
  </w:style>
  <w:style w:type="paragraph" w:customStyle="1" w:styleId="aff9">
    <w:name w:val="前言、引言标题"/>
    <w:next w:val="aff"/>
    <w:qFormat/>
    <w:pPr>
      <w:keepNext/>
      <w:pageBreakBefore/>
      <w:shd w:val="clear" w:color="FFFFFF" w:fill="FFFFFF"/>
      <w:spacing w:before="640" w:after="560"/>
      <w:jc w:val="center"/>
      <w:outlineLvl w:val="0"/>
    </w:pPr>
    <w:rPr>
      <w:rFonts w:ascii="黑体" w:eastAsia="黑体"/>
      <w:sz w:val="32"/>
    </w:rPr>
  </w:style>
  <w:style w:type="paragraph" w:customStyle="1" w:styleId="12">
    <w:name w:val="列出段落1"/>
    <w:basedOn w:val="a0"/>
    <w:uiPriority w:val="99"/>
    <w:unhideWhenUsed/>
    <w:qFormat/>
    <w:pPr>
      <w:ind w:firstLineChars="200" w:firstLine="420"/>
    </w:pPr>
    <w:rPr>
      <w:rFonts w:ascii="Calibri" w:hAnsi="Calibri"/>
      <w:szCs w:val="24"/>
    </w:rPr>
  </w:style>
  <w:style w:type="character" w:customStyle="1" w:styleId="40">
    <w:name w:val="标题 4 字符"/>
    <w:basedOn w:val="a1"/>
    <w:link w:val="4"/>
    <w:qFormat/>
    <w:rPr>
      <w:rFonts w:asciiTheme="majorHAnsi" w:eastAsiaTheme="majorEastAsia" w:hAnsiTheme="majorHAnsi" w:cstheme="majorBidi"/>
      <w:b/>
      <w:bCs/>
      <w:sz w:val="28"/>
      <w:szCs w:val="28"/>
    </w:rPr>
  </w:style>
  <w:style w:type="character" w:customStyle="1" w:styleId="text21">
    <w:name w:val="text21"/>
    <w:basedOn w:val="a1"/>
    <w:qFormat/>
  </w:style>
  <w:style w:type="paragraph" w:customStyle="1" w:styleId="affa">
    <w:name w:val="参考文献"/>
    <w:basedOn w:val="a0"/>
    <w:next w:val="aff"/>
    <w:qFormat/>
    <w:pPr>
      <w:keepNext/>
      <w:pageBreakBefore/>
      <w:widowControl/>
      <w:shd w:val="clear" w:color="FFFFFF" w:fill="FFFFFF"/>
      <w:spacing w:before="640" w:after="200"/>
      <w:jc w:val="center"/>
      <w:outlineLvl w:val="0"/>
    </w:pPr>
    <w:rPr>
      <w:rFonts w:ascii="黑体" w:eastAsia="黑体"/>
      <w:kern w:val="0"/>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e">
    <w:name w:val="批注框文本 字符"/>
    <w:basedOn w:val="a1"/>
    <w:link w:val="ad"/>
    <w:uiPriority w:val="99"/>
    <w:qFormat/>
    <w:rPr>
      <w:rFonts w:ascii="Times New Roman" w:eastAsia="宋体" w:hAnsi="Times New Roman" w:cs="Times New Roman"/>
      <w:sz w:val="18"/>
      <w:szCs w:val="18"/>
    </w:rPr>
  </w:style>
  <w:style w:type="character" w:customStyle="1" w:styleId="a7">
    <w:name w:val="批注文字 字符"/>
    <w:basedOn w:val="a1"/>
    <w:link w:val="a5"/>
    <w:qFormat/>
    <w:rPr>
      <w:rFonts w:ascii="Calibri" w:eastAsia="方正书宋_GBK" w:hAnsi="Calibri" w:cs="Times New Roman"/>
      <w:sz w:val="21"/>
      <w:szCs w:val="22"/>
      <w:lang w:val="ru-RU" w:eastAsia="en-US"/>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30">
    <w:name w:val="标题 3 字符"/>
    <w:basedOn w:val="a1"/>
    <w:link w:val="3"/>
    <w:qFormat/>
    <w:rPr>
      <w:rFonts w:ascii="Times New Roman" w:eastAsia="宋体" w:hAnsi="Times New Roman" w:cs="Times New Roman"/>
      <w:b/>
      <w:bCs/>
      <w:kern w:val="2"/>
      <w:sz w:val="32"/>
      <w:szCs w:val="32"/>
    </w:rPr>
  </w:style>
  <w:style w:type="character" w:customStyle="1" w:styleId="ac">
    <w:name w:val="日期 字符"/>
    <w:basedOn w:val="a1"/>
    <w:link w:val="ab"/>
    <w:qFormat/>
    <w:rPr>
      <w:rFonts w:ascii="Times New Roman" w:eastAsia="宋体" w:hAnsi="Times New Roman" w:cs="Times New Roman"/>
      <w:kern w:val="2"/>
      <w:sz w:val="21"/>
    </w:rPr>
  </w:style>
  <w:style w:type="character" w:styleId="affb">
    <w:name w:val="Placeholder Text"/>
    <w:basedOn w:val="a1"/>
    <w:uiPriority w:val="99"/>
    <w:unhideWhenUsed/>
    <w:qFormat/>
    <w:rPr>
      <w:color w:val="808080"/>
    </w:rPr>
  </w:style>
  <w:style w:type="paragraph" w:customStyle="1" w:styleId="TOC20">
    <w:name w:val="TOC 标题2"/>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fc">
    <w:name w:val="表文"/>
    <w:qFormat/>
    <w:pPr>
      <w:widowControl w:val="0"/>
      <w:suppressAutoHyphens/>
      <w:autoSpaceDE w:val="0"/>
      <w:autoSpaceDN w:val="0"/>
      <w:adjustRightInd w:val="0"/>
      <w:snapToGrid w:val="0"/>
      <w:spacing w:line="280" w:lineRule="atLeast"/>
      <w:jc w:val="both"/>
      <w:textAlignment w:val="center"/>
    </w:pPr>
    <w:rPr>
      <w:rFonts w:ascii="方正书宋_GBK" w:eastAsia="方正书宋_GBK" w:hAnsi="Calibri" w:cs="方正书宋_GBK"/>
      <w:color w:val="000000"/>
      <w:sz w:val="18"/>
      <w:szCs w:val="18"/>
      <w:lang w:val="zh-CN"/>
    </w:rPr>
  </w:style>
  <w:style w:type="paragraph" w:styleId="affd">
    <w:name w:val="List Paragraph"/>
    <w:basedOn w:val="a0"/>
    <w:uiPriority w:val="99"/>
    <w:qFormat/>
    <w:pPr>
      <w:ind w:firstLineChars="200" w:firstLine="420"/>
    </w:pPr>
  </w:style>
  <w:style w:type="paragraph" w:customStyle="1" w:styleId="13">
    <w:name w:val="1."/>
    <w:basedOn w:val="a0"/>
    <w:uiPriority w:val="99"/>
    <w:qFormat/>
    <w:pPr>
      <w:keepNext/>
      <w:widowControl/>
      <w:autoSpaceDE w:val="0"/>
      <w:autoSpaceDN w:val="0"/>
      <w:adjustRightInd w:val="0"/>
      <w:snapToGrid w:val="0"/>
      <w:spacing w:before="320" w:after="320" w:line="320" w:lineRule="atLeast"/>
      <w:jc w:val="left"/>
      <w:textAlignment w:val="center"/>
    </w:pPr>
    <w:rPr>
      <w:rFonts w:ascii="黑体" w:eastAsia="黑体" w:hAnsi="Calibri" w:cs="黑体"/>
      <w:color w:val="000000"/>
      <w:kern w:val="0"/>
      <w:szCs w:val="21"/>
      <w:lang w:val="zh-CN"/>
    </w:rPr>
  </w:style>
  <w:style w:type="paragraph" w:customStyle="1" w:styleId="affe">
    <w:name w:val="丛书名"/>
    <w:qFormat/>
    <w:pPr>
      <w:framePr w:w="8998" w:wrap="around" w:vAnchor="page" w:hAnchor="page" w:x="1475" w:y="2496"/>
      <w:widowControl w:val="0"/>
      <w:autoSpaceDE w:val="0"/>
      <w:autoSpaceDN w:val="0"/>
      <w:adjustRightInd w:val="0"/>
      <w:spacing w:line="708" w:lineRule="exact"/>
      <w:ind w:left="708" w:hanging="708"/>
      <w:jc w:val="distribute"/>
    </w:pPr>
    <w:rPr>
      <w:rFonts w:ascii="方正小标宋_GBK" w:eastAsia="方正小标宋_GBK" w:hAnsi="CGNGHD+FZXBSK--GBK1-0" w:cs="CGNGHD+FZXBSK--GBK1-0"/>
      <w:color w:val="221E1F"/>
      <w:w w:val="118"/>
      <w:sz w:val="58"/>
      <w:szCs w:val="58"/>
      <w:lang w:val="ru-RU"/>
    </w:rPr>
  </w:style>
  <w:style w:type="paragraph" w:customStyle="1" w:styleId="21">
    <w:name w:val="目录2"/>
    <w:basedOn w:val="a0"/>
    <w:uiPriority w:val="99"/>
    <w:qFormat/>
    <w:pPr>
      <w:tabs>
        <w:tab w:val="right" w:leader="dot" w:pos="9060"/>
      </w:tabs>
      <w:suppressAutoHyphens/>
      <w:autoSpaceDE w:val="0"/>
      <w:autoSpaceDN w:val="0"/>
      <w:adjustRightInd w:val="0"/>
      <w:spacing w:line="320" w:lineRule="atLeast"/>
      <w:ind w:firstLineChars="346" w:firstLine="727"/>
      <w:jc w:val="left"/>
      <w:textAlignment w:val="center"/>
    </w:pPr>
    <w:rPr>
      <w:rFonts w:eastAsia="方正书宋_GBK"/>
      <w:color w:val="000000"/>
      <w:spacing w:val="-4"/>
      <w:kern w:val="0"/>
      <w:szCs w:val="21"/>
      <w:lang w:val="zh-CN"/>
    </w:rPr>
  </w:style>
  <w:style w:type="paragraph" w:customStyle="1" w:styleId="31">
    <w:name w:val="目录3"/>
    <w:basedOn w:val="a0"/>
    <w:uiPriority w:val="99"/>
    <w:pPr>
      <w:tabs>
        <w:tab w:val="right" w:leader="dot" w:pos="9060"/>
      </w:tabs>
      <w:suppressAutoHyphens/>
      <w:autoSpaceDE w:val="0"/>
      <w:autoSpaceDN w:val="0"/>
      <w:adjustRightInd w:val="0"/>
      <w:spacing w:line="290" w:lineRule="atLeast"/>
      <w:ind w:firstLineChars="560" w:firstLine="1176"/>
      <w:jc w:val="left"/>
      <w:textAlignment w:val="center"/>
    </w:pPr>
    <w:rPr>
      <w:rFonts w:ascii="宋体" w:eastAsia="方正书宋_GBK" w:hAnsi="Calibri" w:cs="宋体"/>
      <w:color w:val="000000"/>
      <w:spacing w:val="-4"/>
      <w:kern w:val="0"/>
      <w:szCs w:val="21"/>
      <w:lang w:val="zh-CN"/>
    </w:rPr>
  </w:style>
  <w:style w:type="paragraph" w:customStyle="1" w:styleId="afff">
    <w:name w:val="[基本段落]"/>
    <w:basedOn w:val="a0"/>
    <w:uiPriority w:val="99"/>
    <w:pPr>
      <w:autoSpaceDE w:val="0"/>
      <w:autoSpaceDN w:val="0"/>
      <w:adjustRightInd w:val="0"/>
      <w:spacing w:line="288" w:lineRule="auto"/>
      <w:jc w:val="left"/>
      <w:textAlignment w:val="center"/>
    </w:pPr>
    <w:rPr>
      <w:rFonts w:ascii="Adobe 宋体 Std L" w:eastAsia="Adobe 宋体 Std L" w:hAnsi="Calibri" w:cs="Adobe 宋体 Std L"/>
      <w:color w:val="000000"/>
      <w:kern w:val="0"/>
      <w:sz w:val="24"/>
      <w:szCs w:val="24"/>
      <w:lang w:val="zh-CN"/>
    </w:rPr>
  </w:style>
  <w:style w:type="paragraph" w:customStyle="1" w:styleId="afff0">
    <w:name w:val="[无段落样式]"/>
    <w:qFormat/>
    <w:pPr>
      <w:widowControl w:val="0"/>
      <w:autoSpaceDE w:val="0"/>
      <w:autoSpaceDN w:val="0"/>
      <w:adjustRightInd w:val="0"/>
      <w:spacing w:line="288" w:lineRule="auto"/>
      <w:jc w:val="both"/>
      <w:textAlignment w:val="center"/>
    </w:pPr>
    <w:rPr>
      <w:rFonts w:ascii="Adobe 宋体 Std L" w:eastAsia="Adobe 宋体 Std L" w:cs="Adobe 宋体 Std L"/>
      <w:color w:val="000000"/>
      <w:sz w:val="24"/>
      <w:szCs w:val="24"/>
      <w:lang w:val="zh-CN"/>
    </w:rPr>
  </w:style>
  <w:style w:type="paragraph" w:customStyle="1" w:styleId="afff1">
    <w:name w:val="表头"/>
    <w:basedOn w:val="a0"/>
    <w:qFormat/>
    <w:pPr>
      <w:spacing w:beforeLines="50" w:afterLines="50" w:line="360" w:lineRule="auto"/>
      <w:jc w:val="center"/>
    </w:pPr>
    <w:rPr>
      <w:szCs w:val="24"/>
    </w:rPr>
  </w:style>
  <w:style w:type="paragraph" w:customStyle="1" w:styleId="afff2">
    <w:name w:val="表格"/>
    <w:basedOn w:val="a0"/>
    <w:pPr>
      <w:jc w:val="left"/>
    </w:pPr>
    <w:rPr>
      <w:szCs w:val="24"/>
    </w:rPr>
  </w:style>
  <w:style w:type="paragraph" w:customStyle="1" w:styleId="afff3">
    <w:name w:val="图片"/>
    <w:basedOn w:val="a0"/>
    <w:qFormat/>
    <w:pPr>
      <w:jc w:val="center"/>
    </w:pPr>
    <w:rPr>
      <w:szCs w:val="24"/>
    </w:rPr>
  </w:style>
  <w:style w:type="character" w:customStyle="1" w:styleId="aa">
    <w:name w:val="文档结构图 字符"/>
    <w:basedOn w:val="a1"/>
    <w:link w:val="a9"/>
    <w:qFormat/>
    <w:rPr>
      <w:rFonts w:ascii="宋体" w:eastAsia="宋体" w:hAnsi="Times New Roman" w:cs="Times New Roman"/>
      <w:kern w:val="2"/>
      <w:sz w:val="18"/>
      <w:szCs w:val="18"/>
    </w:rPr>
  </w:style>
  <w:style w:type="character" w:customStyle="1" w:styleId="Char1">
    <w:name w:val="日期 Char1"/>
    <w:qFormat/>
    <w:rPr>
      <w:rFonts w:eastAsia="方正书宋_GBK"/>
      <w:sz w:val="21"/>
      <w:szCs w:val="22"/>
      <w:lang w:val="ru-RU" w:eastAsia="en-US"/>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6">
    <w:name w:val="批注主题 字符"/>
    <w:basedOn w:val="a7"/>
    <w:link w:val="a4"/>
    <w:uiPriority w:val="99"/>
    <w:qFormat/>
    <w:rPr>
      <w:rFonts w:ascii="Times New Roman" w:eastAsia="宋体" w:hAnsi="Times New Roman" w:cs="Times New Roman"/>
      <w:b/>
      <w:bCs/>
      <w:kern w:val="2"/>
      <w:sz w:val="21"/>
      <w:szCs w:val="24"/>
      <w:lang w:val="ru-RU" w:eastAsia="en-US"/>
    </w:rPr>
  </w:style>
  <w:style w:type="table" w:customStyle="1" w:styleId="14">
    <w:name w:val="样式1"/>
    <w:basedOn w:val="11"/>
    <w:uiPriority w:val="99"/>
    <w:qFormat/>
    <w:pPr>
      <w:spacing w:line="240" w:lineRule="auto"/>
      <w:ind w:firstLineChars="0" w:firstLine="0"/>
    </w:pPr>
    <w:rPr>
      <w:rFonts w:ascii="Calibri" w:hAnsi="Calibri"/>
      <w:kern w:val="2"/>
      <w:sz w:val="21"/>
      <w:szCs w:val="22"/>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af8">
    <w:name w:val="标题 字符"/>
    <w:basedOn w:val="a1"/>
    <w:link w:val="af7"/>
    <w:qFormat/>
    <w:rPr>
      <w:rFonts w:ascii="Cambria" w:eastAsia="黑体" w:hAnsi="Cambria" w:cs="Times New Roman"/>
      <w:b/>
      <w:bCs/>
      <w:kern w:val="2"/>
      <w:sz w:val="32"/>
      <w:szCs w:val="32"/>
    </w:rPr>
  </w:style>
  <w:style w:type="character" w:customStyle="1" w:styleId="af4">
    <w:name w:val="副标题 字符"/>
    <w:basedOn w:val="a1"/>
    <w:link w:val="af3"/>
    <w:qFormat/>
    <w:rPr>
      <w:rFonts w:ascii="Cambria" w:eastAsia="宋体" w:hAnsi="Cambria" w:cs="Times New Roman"/>
      <w:b/>
      <w:bCs/>
      <w:kern w:val="28"/>
      <w:sz w:val="32"/>
      <w:szCs w:val="32"/>
    </w:rPr>
  </w:style>
  <w:style w:type="paragraph" w:customStyle="1" w:styleId="15">
    <w:name w:val="修订1"/>
    <w:hidden/>
    <w:uiPriority w:val="99"/>
    <w:semiHidden/>
    <w:qFormat/>
    <w:rPr>
      <w:rFonts w:ascii="Calibri" w:eastAsia="方正书宋_GBK" w:hAnsi="Calibri"/>
      <w:sz w:val="21"/>
      <w:szCs w:val="22"/>
      <w:lang w:val="ru-RU" w:eastAsia="en-US"/>
    </w:rPr>
  </w:style>
  <w:style w:type="character" w:customStyle="1" w:styleId="50">
    <w:name w:val="标题 5 字符"/>
    <w:basedOn w:val="a1"/>
    <w:link w:val="5"/>
    <w:uiPriority w:val="9"/>
    <w:semiHidden/>
    <w:qFormat/>
    <w:rPr>
      <w:rFonts w:ascii="Times New Roman" w:eastAsia="宋体" w:hAnsi="Times New Roman"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3.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5615F-7B15-4597-9F27-4A88C7FC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790</Words>
  <Characters>4504</Characters>
  <Application>Microsoft Office Word</Application>
  <DocSecurity>0</DocSecurity>
  <Lines>37</Lines>
  <Paragraphs>10</Paragraphs>
  <ScaleCrop>false</ScaleCrop>
  <Company>MS</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2019-06-11T06:31:00Z</cp:lastPrinted>
  <dcterms:created xsi:type="dcterms:W3CDTF">2019-09-23T04:04:00Z</dcterms:created>
  <dcterms:modified xsi:type="dcterms:W3CDTF">2019-11-06T05:30:00Z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